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AARP/312/2012 vom 11. September 2012</w:t>
      </w:r>
    </w:p>
    <w:p>
      <w:r>
        <w:t>GE Cour de justice, 2012-09-11, FR</w:t>
      </w:r>
    </w:p>
    <w:p>
      <w:r>
        <w:rPr>
          <w:b/>
        </w:rPr>
        <w:t xml:space="preserve">Quelle: </w:t>
      </w:r>
      <w:r>
        <w:t>https://mcp.opencaselaw.ch/entscheid/ge_gerichte_AARP_312_2012</w:t>
      </w:r>
    </w:p>
    <w:p>
      <w:r>
        <w:t>FR: GE_GERICHTE AARP/312/2012 du 11 septembre 2012</w:t>
      </w:r>
    </w:p>
    <w:p>
      <w:r>
        <w:t>IT: GE_GERICHTE AARP/312/2012 del 11 settembre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tout acte qui provoque un état maladif, l'aggrave ou en retarde la guérison, comme les blessures, les meurtrissures, les écorchures ou les griffures (…) (ATF 134 IV 189 consid. 1.1. p. 191 ; ATF 107 IV 40</w:t>
      </w:r>
    </w:p>
    <w:p>
      <w:r>
        <w:t>- 9/18 - P/7810/2010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2.2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Traité de procédure pénale suisse, 2e éd., 2006, n. 702, p. 443). 2.3.1 S'agissant des faits du 12 avril 2010, la partie plaignante n'a pas toujours été constante. Elle a été la seule à parler à l'instruction de trois chutes successives, ce que n'ont pas observé les témoins. La fiabilité de son récit est douteuse s'agissant de la strangulation qu'elle a dénoncée à la police pour la nier devant le juge d'instruction. Un étranglement opéré avec "toutes ses forces" est susceptible de laisser des traces sur le cou, ce que ne corroborent pas les certificats médicaux produits. La partie plaignante semble au demeurant avoir fortement exagéré la portée des coups, ainsi que leur durée qui n'est guère compatible avec la présence de simples bleus sur le corps de la victime selon les observations du témoin E______. Cette dernière décrit</w:t>
      </w:r>
    </w:p>
    <w:p>
      <w:r>
        <w:t>- 10/18 - P/7810/2010 d'ailleurs une altercation avant tout verbale, motivée par le dénigrement de la partie plaignante après son licenciement. Contrairement à ce que soutient la partie plaignante, sa chute ne semble pas avoir été provoquée par un acte volontaire de l'appelant principal ou des coups qu'il aurait donnés, mais bien par un déséquilibre consécutif à un corps à corps où chacun essayait de se démarquer de l'autre. Le témoin E______ ne dit pas autre chose, en parlant d'une raison indéterminée qui avait provoqué la chute en arrière de la partie plaignante sur des objets mobiliers, l'appelant principal ayant surtout cherché à immobiliser la partie plaignante pour éviter de prendre des coups. Même si les liens affectifs l'unissant à l'appelant principal atténuent la force de son témoignage, l'autre hôtesse s'exprime dans le même sens, n'ayant observé aucun coup échangé. L'appelant principal a fait des déclarations qui témoignent de sa volonté de maîtriser la partie plaignante plutôt que de profiter de sa force, sans qu'on puisse établir que ses explications confinent au mensonge sur la seule base de la tromperie dont il a reconnu être l'auteur dans le volet financier de la cause. Les lésions constatées dans les certificats médicaux ne permettent pas d'infirmer la conclusion qui précède, dans la mesure où ils ne différencient pas les causes des blessures et que celles-ci peuvent indistinctement provenir des faits du 12 ou du 13 avril 2010. C'est sans compter qu'une chute en arrière, même accidentelle, peut provoquer des lésions constatables médicalement. Il s'ensuit que l'acquittement en première instance de X______ doit être confirmé, ce qui entraîne le rejet de l'appel joint du Ministère public sur ce point. 2.3.2.1 X______ plaide son acquittement pour les faits du 13 avril 2010. Le récit de la partie plaignante est à ce sujet plus constant, puisqu'elle a toujours décrit un geste volontaire de l'appelant principal qui l'avait faite trébucher en arrière, soit qu'il lui ait tiré le col, soit qu'il l'ait tapée sur la poitrine. Or, un contact avec pour effet de déstabiliser la partie plaignante est aussi décrit par le témoin F______, dont la fiabilité apparaît plus forte que celle de l'autre témoin pour les raisons déjà évoquées. Le témoin F______ a aussi confirmé l'existence d'un coup de poing à la tête alors que la partie plaignante était à terre, ce qu'elle a décrit tant à la police qu'à l'instruction. Le fait que l'appelant principal soit resté jusqu'à l'arrivée de la police ne l'exonère pas d'actes de violence pour lesquels sa culpabilité sera confirmée. 2.3.2.2 L'appelant principal plaide la légitime défense. Dans sa première déclaration de portée générale à la police, l'appelant principal situe l'épisode d'une agression au moyen d'un verre cassé après que les deux protagonistes furent tombés à terre. Devant le juge d'instruction et le premier juge, l'épisode intervient chronologiquement avant la chute, plus exactement avant la clé de bras qui</w:t>
      </w:r>
    </w:p>
    <w:p>
      <w:r>
        <w:t>- 11/18 - P/7810/2010 aurait précédé la chute. Cette divergence tend déjà à affaiblir la force de la démonstration de l'appelant principal. A la police, la partie plaignante ne parle pas de l'épisode des verres brisés. Il en est de même du témoin F______. Seule le témoin D______ y fait allusion en déclarant avoir entendu des bruits de verre. La partie plaignante admet devant le juge d'instruction s'être retournée pour saisir quelque chose, sans le nommer. Les deux témoins n'y font aucune allusion. Il semble bien que la partie plaignante ait cherché à s'emparer d'un verre, mais, quoiqu'il en soit, cet épisode n'a pas laissé un souvenir marquant aux observateurs de la scène. Il est donc peu probable que cet événement ait revêtu l'importance significative que l'appelant principal veut lui donner. Si la partie plaignante s'était effectivement emparée d'un verre cassé en guise de menace, elle aurait probablement subi des coupures dans sa chute, ce que les certificats médicaux infirment. Quoiqu'il en soit, un tel épisode n'aurait pas pour effet d'exonérer l'appelant principal, puisqu'il dit lui-même avoir réussi à faire une clé de bras à la partie plaignante. C'est dire que la menace, pour autant qu'elle existât, n'était pas imminente au point qu'elle l'ait empêché de réagir. Même dans l'hypothèse la plus favorable à l'appelant principal, la violence exercée alors que tous deux étaient à terre, notamment le coup de poing assené à la partie plaignante, n'est pas dans une relation de cause à effet avec le comportement initial de la partie plaignante, fût-il menaçant. Ces actes de violence se sont exercés alors que l'appelant principal avait la maîtrise sur sa victime et qu'il n'avait plus rien à craindre d'elle. Ainsi l'appelant principal n'a-t-il pas usé de la force et d'actes de violence pour repousser une attaque imminente. Sa culpabilité sans circonstance atténuante sera donc confirmée pour les faits du 13 avril 2010.</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- 12/18 - P/7810/2010</w:t>
      </w:r>
    </w:p>
    <w:p>
      <w:r>
        <w:rPr>
          <w:b/>
        </w:rPr>
        <w:t>E. 3.2</w:t>
      </w:r>
    </w:p>
    <w:p>
      <w:r>
        <w:t>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tels les bénéficiaires de l'aide sociale, les personnes sans activité professionnelle (…) (ATF 134 IV 97 consid. 5.2.3 p. 104 ; arrêt du Tribunal fédéral 6B_541/2007 du 13 mai 2008 consid. 5.1).</w:t>
      </w:r>
    </w:p>
    <w:p>
      <w:r>
        <w:rPr>
          <w:b/>
        </w:rPr>
        <w:t>E. 3.3</w:t>
      </w:r>
    </w:p>
    <w:p>
      <w:r>
        <w:t>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 amende. Les deux facteurs doivent être fixés séparément dans le jugement (al. 4). (ATF 134 IV 1 consid. 5 et 6 p. 9 et 15 ; arrêt du Tribunal fédéral 6B_541/2007 du 13 mai 2008 consid. 5 et 6).</w:t>
      </w:r>
    </w:p>
    <w:p>
      <w:r>
        <w:rPr>
          <w:b/>
        </w:rPr>
        <w:t>E. 3.3.1</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2e éd., Bâle 2007, n. 40 ad art. 34 ; arrêt du Tribunal fédéral 6B_541/2007 du 13 mai 2008 consid. 6.3).</w:t>
      </w:r>
    </w:p>
    <w:p>
      <w:r>
        <w:rPr>
          <w:b/>
        </w:rPr>
        <w:t>E. 3.3.2</w:t>
      </w:r>
    </w:p>
    <w:p>
      <w:r>
        <w:t>Le premier juge n'a fourni aucune explication quant à la fixation de 150 jours- amende en lieu et place de la sanction prononcée par le Ministère public par ordonnance pénale. Tout au plus peut-on lire entre les lignes que le contexte de rupture et de liquidation de la société avait pu jouer un rôle, chacune des parties se sentant légitimée à faire valoir ses droits. Il reste que la faute importante retenue par le premier juge pour le volet financier de la cause et celle qualifiée de non négligeable pour les atteintes à l'intégrité corporelle ne</w:t>
      </w:r>
    </w:p>
    <w:p>
      <w:r>
        <w:t>- 13/18 - P/7810/2010 permettent pas de justifier une peine limitée à 150 jours-amende, même avec un acquittement partiel. La gravité des faits, la durée de la période pénale, le concours d'infractions, la collaboration moyenne de l'appelant principal constituent autant d'éléments propres à entraîner une sanction correspondant à celle fixée par ordonnance pénale. Il importe peu à cet égard qu'un acquittement partiel ait été prononcé, ce qui a pu inciter le premier juge a opérer une réduction linéaire de la sanction initialement prononcée. En choisissant la voie de l'ordonnance pénale, le Ministère public s'est autolimité à prononcer une sanction équivalente à 6 mois de privation de liberté en dépit d'une faute qui eût mérité une sanction plus sévère, comme il l'a plaidé. Qu'un prévenu ait pu être condamné à une peine artificiellement basse pour éviter la tenue d'un procès ne saurait empêcher une autorité de jugement de revenir sur ce choix par la suite. Aussi la peine ne doit-elle pas être fixée en fonction du plafond imposé par ordonnance pénale mais selon les critères de gravité de la faute qui auraient pu, en d'autres circonstances, inciter le Ministère public à requérir une peine supérieure et adaptée à la gravité objective de la faute. Cette conclusion s'impose d'autant plus que l'acquittement ne concerne pas l'infraction la plus grave, soit l'escroquerie réalisée sur une large échelle et durant près de 10 ans. Dans le même sens, il convient d'assortir la peine d'un délai d'épreuve qui ne soit pas réduit à son minimum, l'appelant principal ayant démontré par ses actes au préjudice de l'Hospice général qu'il était prêt à agir pendant une longue période sans se soucier du bien commun. Sa persévérance à tromper une institution sociale et sa situation matérielle actuelle obérée ne le mettent pas à l'abri d'un risque de délinquance sur le plan financier. Il sera ainsi fait droit à l'appel joint du Ministère public s'agissant de la quotité de la peine qui se justifie pleinement. Le jugement du Tribunal de police sera confirmé s'agissant de la durée du délai d'épreuve, ce qui entraine le rejet de l'appel principal sur ces deux points. 3.4.1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w:t>
      </w:r>
    </w:p>
    <w:p>
      <w:r>
        <w:t>- 14/18 - P/7810/2010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(Message concernant la modification du code pénal suisse [dispositions générales, entrée en vigueur et application du code pénal] et du code pénal militaire ainsi qu’une loi fédérale régissant la condition pénale des mineurs du 21 septembre 1998, FF 1999 p. 1824 ; ATF 134 IV 97 consid. 5.2.3 p. 104 ; arrêt du Tribunal fédéral 6B_541/2007 du 13 mai 2008 consid. 6.4.1). Celui qui subvient à ses besoins par ses revenus courants doit s'acquitter de la peine pécuniaire au moyen de ces derniers et se laisser ainsi restreindre dans son train de vie habituel, qu'il s'agisse de revenus du travail, de la fortune ou de rentes. La peine pécuniaire tend en effet avant tout à toucher l'auteur dans ses revenus et non dans les sources de ces derniers.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 cette dernière constitue un élément pertinent dans la mesure où l'auteur en tire sa subsistance quotidienne (ATF 134 IV 97 consid. 5.2.3 p. 104 ; arrêt du Tribunal fédéral 6B_541/2007 du 13 mai 2008 consid. 6.4.2 ; F. BOMMER, "Die Sanktionen im neuen AT StGB – Ein Überblick", in: Revision des Allgemeinenen Teils des Strafgesetzbuches, p. 21 ss).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Pour les condamnés qui vivent en-dessous ou au seuil du minimum vital, le jour- amende doit être réduit dans une telle mesure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Lorsque le nombre des jours-amende est considérable – en particulier au-delà de 90 jours-amende – une réduction supplémentaire de 10 à 30% est indiquée car la contrainte économique, partant le caractère pénible de la sanction, croît en proportion de la durée de la peine (A. DOLGE, op. cit., n. 48 et 85 ad art. 34 et les références). La situation financière concrète est toujours déterminante (arrêt du Tribunal fédéral 6B_541/2007 du 13 mai 2008 consid. 6.4.5).</w:t>
      </w:r>
    </w:p>
    <w:p>
      <w:r>
        <w:t>- 15/18 - P/7810/2010 3.4.2 Il ne peut être nié que l'appelant principal est dans une situation financière obérée. Sa situation actuelle est celle d'une personne sans revenus et dépourvue d'aide sociale, en raison du fait qu'il devrait à terme bénéficier de la succession de sa mère à concurrence de plusieurs centaines de milliers de francs. Sa fortune hypothétique ne saurait cependant être prise en compte dans le calcul de la quotité du jour-amende, car l'appelant principal a des dettes substantielles qu'il devra à terme rembourser. Ce qui fait foi est la situation financière concrète du débiteur à ce jour. L'importance de la sanction impose enfin une certaine retenue quant à la quotité du jour-amende. Au vu de ce qui précède, le montant de l'unité du jour-amende sera réduit au minimum fixé par voie jurisprudentielle, soit CHF 10.- par jour (cf. supra ch. 3.4.1). Le jugement sera réformé en conséquence.</w:t>
      </w:r>
    </w:p>
    <w:p>
      <w:r>
        <w:rPr>
          <w:b/>
        </w:rPr>
        <w:t>E. 4.1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L'al. 2 de cette disposition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Zurich 2010, n. 9 ad art. 428 ; N. SCHMID, Schweizerische Strafprozessordnung : Praxiskommentar,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w:t>
      </w:r>
    </w:p>
    <w:p>
      <w:r>
        <w:rPr>
          <w:b/>
        </w:rPr>
        <w:t>E. 4.2</w:t>
      </w:r>
    </w:p>
    <w:p>
      <w:r>
        <w:t>La condamnation de l'appelant aux frais de première instance tient équitablement compte de la décision de justice prise à son encontre. Certes, l'appelant a bénéficié d'un acquittement mais la place prise par ce dernier n'est pas telle qu'il doive entraîner une modification de la quote-part de prise en charge des frais. L'appelant oublie à cet égard que sa culpabilité a été retenue en première instance pour des faits de nature pénale autrement plus graves, sans que l'acquittement prononcé ne puisse modifier significativement la répartition des frais. S'agissant des frais de la procédure d'appel, l'appelant succombe entièrement, de sorte que celui-ci supportera les frais de la procédure envers l'Etat (art. 428 CPP), qui comprennent une indemnité de CHF 1'500.- (art. 14 al. 1 let. e du règlement fixant le tarif des frais en matière pénale, E 4 10.03).</w:t>
      </w:r>
    </w:p>
    <w:p>
      <w:r>
        <w:t>- 16/18 - P/7810/2010 * * * * *</w:t>
      </w:r>
    </w:p>
    <w:p>
      <w:r>
        <w:t>- 17/18 - P/7810/2010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