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AARP/310/2019 vom 3. September 2019</w:t>
      </w:r>
    </w:p>
    <w:p>
      <w:r>
        <w:t>GE Cour de justice, 2019-09-03, FR</w:t>
      </w:r>
    </w:p>
    <w:p>
      <w:r>
        <w:rPr>
          <w:b/>
        </w:rPr>
        <w:t xml:space="preserve">Quelle: </w:t>
      </w:r>
      <w:r>
        <w:t>https://mcp.opencaselaw.ch/entscheid/ge_gerichte_AARP_310_2019</w:t>
      </w:r>
    </w:p>
    <w:p>
      <w:r>
        <w:t>FR: GE_GERICHTE AARP/310/2019 du 3 septembre 2019</w:t>
      </w:r>
    </w:p>
    <w:p>
      <w:r>
        <w:t>IT: GE_GERICHTE AARP/310/2019 del 3 settembre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La rupture de ban est passible d'une peine privative de liberté de trois ans au plus ou d'une peine pécuniaire.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- 6/12 - P/9/2019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L'efficacité de la sanction à prononcer est autant décisive pour la détermination de celle-ci que pour en fixer la durée (arrêt du Tribunal fédéral 6B_611/2014 du 9 mars 2015 consid. 4.2). Le juge dispose d'un large pouvoir d'appréciation dans la fixation de la peine (arrêt 6B_835/2018 du 8 novembre 2018 consid. 2.1). 2.2.2.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2.3</w:t>
      </w:r>
    </w:p>
    <w:p>
      <w:r>
        <w:t>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w:t>
      </w:r>
    </w:p>
    <w:p>
      <w:r>
        <w:t>- 7/12 - P/9/2019</w:t>
      </w:r>
    </w:p>
    <w:p>
      <w:r>
        <w:rPr>
          <w:b/>
        </w:rPr>
        <w:t>E. 2.4</w:t>
      </w:r>
    </w:p>
    <w:p>
      <w:r>
        <w:t>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w:t>
      </w:r>
    </w:p>
    <w:p>
      <w:r>
        <w:rPr>
          <w:b/>
        </w:rPr>
        <w:t>E. 2.5</w:t>
      </w:r>
    </w:p>
    <w:p>
      <w:r>
        <w:t>En l'espèce, l'intimé a à nouveau pénétré sur le territoire Suisse, après son renvoi en Algérie le 30 juin 2018, alors qu'il avait fait l'objet d'une expulsion pour une durée de cinq ans suite à sa condamnation du 17 janvier 2017, et ce, nonobstant une première condamnation pénale pour rupture de ban prononcée à son encontre le 25 mai 2018 (dont la peine n'avait pas été exécutée). Le juge de première instance a considéré que les explications fournies par l'intimé n'étaient pas convaincantes, celui-ci ayant varié à plusieurs reprises dans ses déclarations, qui étaient au demeurant peu crédibles. Le premier juge a ainsi retenu que l'intimé était revenu en Suisse avec conscience et volonté, et en toute connaissance de cause. Ce raisonnement doit être confirmé, au vu des éléments figurant au dossier. La faute de l'intimé doit être qualifiée de moyennement grave. Il est revenu sur territoire suisse alors qu'il savait n'en avoir pas le droit, et ce, malgré une première condamnation pour rupture de ban. Quand bien même ce dernier se serait effectivement retrouvé en Suisse par erreur – ce qui est très peu crédible -, il aurait à tout le moins été possible pour lui de rester sur le quai (situé avant le passage de frontière) et d'attendre le prochain train en direction de la France, ce qu'il n'a pas fait. Son mobile relève de son intérêt égoïste à pénétrer en Suisse, alors qu'il n'y a aucune attache, agissant au mépris des règles en vigueur et sans considération pour les décisions précédemment rendues à son encontre. Sa situation personnelle n'explique en rien l'infraction commise. Sa collaboration doit être qualifiée de mauvaise. Il a cherché à minimiser ses actes en donnant des explications contradictoires et dénuées de crédibilité. Au vu de celles-ci, sa prise de conscience est inexistante, dès lors qu'il persiste à revenir en Suisse malgré ses précédentes condamnations et le prononcé d'une expulsion. S'il a exprimé des regrets, ceux-ci ne sont intervenus pour la première fois et de manière tout à fait opportune qu'à l'audience de jugement. L'intimé a déjà été condamné par sept fois entre 2016 et 2018. La dernière infraction commise, récente et spécifique (rupture de ban entre le 4 février et le 26 avril 2018), l'a été alors qu'il avait bénéficié d'un jugement de libération conditionnelle moins d'une année auparavant, ce qui témoigne de son mépris persistant pour la loi.</w:t>
      </w:r>
    </w:p>
    <w:p>
      <w:r>
        <w:t>- 8/12 - P/9/2019 Au vu de ce qui précède, la peine prononcée en première instance paraît excessivement clémente. L'intimé ayant déjà été condamné pour rupture de ban, en 2018, à une peine privative de liberté de 180 jours, il ne se justifiait pas de prononcer une peine inférieure de moitié pour la nouvelle infraction commise en 2019. Cette peine – dont le genre n'est à juste titre pas contesté - sera ainsi revue à la hausse, l'appel du Ministère Public étant admis sur ce point. Il sera cependant tenu compte de la période pénale très courte, l'intimé ayant commis un acte isolé, et n'étant resté que brièvement en Suisse avant d'être interpellé. La peine privative de liberté sera ainsi fixée à six mois ferme, celle-ci apparaissant apte à dissuader l'intimé de récidiver. L'absence de sursis – qui n'est par ailleurs pas contestée – est justifiée au vu de la dernière récidive et des nombreux antécédents de l'intimé. La non-révocation des précédents sursis lui est par ailleurs acquise, l'appel ne portant pas sur ce point. La peine privative de liberté étant fixée à six mois, l'intimé n'aura droit à aucune indemnisation pour détention illicite, celui-ci n'ayant pas subi de jour de détention en trop. L'appel du Ministère Public est donc partiellement admis. Le jugement entrepris sera ainsi réformé dans la mesure qui précède. Par souci de clarté, le dispositif du jugement sera cependant entièrement reformulé.</w:t>
      </w:r>
    </w:p>
    <w:p>
      <w:r>
        <w:rPr>
          <w:b/>
        </w:rPr>
        <w:t>E. 3</w:t>
      </w:r>
    </w:p>
    <w:p>
      <w:r>
        <w:t>Les motifs ayant conduit le premier juge à prononcer, par ordonnance séparée du 17 mai 2019, le placement de l'intimé, en détention pour des motifs de sûreté sont toujours d'actualité, ce que celui-ci ne conteste au demeurant pas, de sorte que la mesure sera confirmée (ATF 139 IV 277 consid. 2.2 à 2.3).</w:t>
      </w:r>
    </w:p>
    <w:p>
      <w:r>
        <w:rPr>
          <w:b/>
        </w:rPr>
        <w:t>E. 4</w:t>
      </w:r>
    </w:p>
    <w:p>
      <w:r>
        <w:t>Le MP obtenant partiellement gain de cause, l'intimé succombe dans la même mesure et supportera ainsi la moitié des frais de la procédure, comprenant un émolument de CHF 1'000.-, le solde étant laissé à la charge de l'Etat (art. 428 CPP et art. 14 al. 1 let. e du Règlement fixant le tarif des frais en matière pénale ; E 4 10.03).</w:t>
      </w:r>
    </w:p>
    <w:p>
      <w:r>
        <w:rPr>
          <w:b/>
        </w:rPr>
        <w:t>E. 5.1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200.- pour les chefs d'étude (let. c). En cas d'assujettissement, l'équivalent de la TVA est versé en sus. Il est admis que l'activité consacrée aux conférences, audiences et autres actes de la procédure soit forfaitairement majorée de 20% jusqu'à 30 heures de travail (arrêt du Tribunal fédéral 6B_838/2015 du 25 juillet 2016 consid. 3.5.2 ; voir aussi les décisions de la Cour des plaintes du Tribunal pénal fédéral BB.2016.34 du 21 octobre 2016 consid. 4.1 et 4.2 et BB.2015.85 du 12 avril 2016 consid. 3.5.2 et</w:t>
      </w:r>
    </w:p>
    <w:p>
      <w:r>
        <w:t>- 9/12 - P/9/2019 3.5.3).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5.2</w:t>
      </w:r>
    </w:p>
    <w:p>
      <w:r>
        <w:t>En l’occurrence, l’état de frais produit par le conseil de l’intimé paraît adéquat et conforme aux dispositions et principes qui précèdent, de sorte qu’il sera admis sans en reprendre le détail. En conclusion, l'indemnité sera arrêtée à CHF 1'910.90 correspondant à 6h40 d'activité au tarif de CHF 200.-/heure (CHF 1'333.35) plus la majoration forfaitaire de 20% (CHF 266.65), la vacation à la Cour de justice pour l'audience d'appel (CHF 100.-), la TVA au taux de 7.7% (CHF 130.90), et les débours pour les frais d'interprète du 19 août 2019 (CHF 80.-). * * * * *</w:t>
      </w:r>
    </w:p>
    <w:p>
      <w:r>
        <w:t>- 10/12 - P/9/2019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