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AARP/30/2020 vom 23. Januar 2020</w:t>
      </w:r>
    </w:p>
    <w:p>
      <w:r>
        <w:t>GE Cour de justice, 2020-01-23, FR</w:t>
      </w:r>
    </w:p>
    <w:p>
      <w:r>
        <w:rPr>
          <w:b/>
        </w:rPr>
        <w:t xml:space="preserve">Quelle: </w:t>
      </w:r>
      <w:r>
        <w:t>https://mcp.opencaselaw.ch/entscheid/ge_gerichte_AARP_30_2020</w:t>
      </w:r>
    </w:p>
    <w:p>
      <w:r>
        <w:t>FR: GE_GERICHTE AARP/30/2020 du 23 janvier 2020</w:t>
      </w:r>
    </w:p>
    <w:p>
      <w:r>
        <w:t>IT: GE_GERICHTE AARP/30/2020 del 23 gennaio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w:t>
      </w:r>
    </w:p>
    <w:p>
      <w:r>
        <w:t>- 9/22 - P/9868/2019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 du Tribunal fédéral 6B_324/2017 du 8 mars 2018 consid. 1.1). Lorsque le prévenu avoue, le ministère public ou le tribunal s'assure de la crédibilité de ses déclarations et l'invite à décrire précisément les circonstances de l'infraction (art. 160 CPP).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6B_65/2016 du 26 avril 2016 consid. 2.2.1 ; 6B_275/2014 du 5 novembre 2014 consid. 6.2). 2.2.1. De même que la capacité de discernement est présumée en droit civil s'il n'existe aucun motif de la mettre en doute (art. 16 CC; ATF 134 II 235 consid. 4.3.3</w:t>
      </w:r>
    </w:p>
    <w:p>
      <w:r>
        <w:t>- 10/22 - P/9868/2019 p. 240), la pleine responsabilité de l'auteur est présumée en droit pénal (arrêt du Tribunal fédéral 6B_1129/2014 du 9 septembre 2015, consid. 4.2). 2.2.2. En l'espèce, nonobstant les propos parfois surprenants que l'appelant a pu tenir, son comportement, apprécié globalement, ne permet pas de retenir un doute quant à sa responsabilité, ce d'autant plus et surtout qu'au moment des faits il venait de sortir, en bonne santé, de son séjour hospitalier et se trouvait encore sous l'effet bénéfique du traitement reçu à cette occasion (cf. supra B.f).</w:t>
      </w:r>
    </w:p>
    <w:p>
      <w:r>
        <w:rPr>
          <w:b/>
        </w:rPr>
        <w:t>E. 2.3</w:t>
      </w:r>
    </w:p>
    <w:p>
      <w:r>
        <w:t>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2.4.1. A teneur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ayant-droit, sera, sur plainte, puni d'une peine privative de liberté de trois ans au plus ou d'une peine pécuniaire. 2.4.2. La notion de "maison" englobe le bâtiment, ses dépendances et tout local durablement fixé au sol dont une personne peut disposer librement et sans être troublée dans sa possession. Il s'agit d'une notion très large, qui ne prend pas en compte la destination du bâtiment. Il peut dont s'agir notamment de locaux commerciaux, de fabriques, de magasins, de garages, etc. (M. DUPUIS / L. MOREILLON / C. PIGUET / S. BERGER / M. MAZOU / V. RODIGARI [éds], Code pénal - Petit commentaire, 2e éd., Bâle 2017, ad art. 186 N 9). 2.5.1. En l'espèce, l'intimé s'est emparé le 8 mai 2019 au petit matin du sac à dos de la victime, brisant ainsi la possession de celle-ci contre sa volonté, ce qu'il ne conteste pas. Comme retenu par la CPAR (cf. supra B.f.), au moment de commettre son forfait, l'intimé savait que le sac à dos appartenait à autrui. Il l'a emporté pour s'approprier son contenu. La vérification de la valeur des objets s'y trouvant, alors que deux jours auparavant il avait conservé d'autres effets dérobés de la même manière, constituent un faisceau d'indices suffisant pour le confirmer. Sa culpabilité s'agissant de l'infraction de vol sera dès lors retenue et l'appel du MP admis sur ce point. 2.5.2. S'agissant de l'infraction de violation de domicile, l'intimé a pénétré dans l'aéroport de Genève contre la volonté de ses ayants droit et y est demeuré le temps de commettre un vol, ce qu'il ne conteste pas non plus. Il a agi avec conscience et volonté, dans le but de dérober un sac pour s'enrichir (cf. supra B.f.). Partant, il sera déclaré coupable de violation de domicile, l'appel du MP étant admis sur ce point également.</w:t>
      </w:r>
    </w:p>
    <w:p>
      <w:r>
        <w:t>- 11/22 - P/9868/2019 2.5.3. La poursuite de A______ pour exercice illicite de la prostitution se fonde uniquement sur ses propres déclarations qu'il a pu faire pour démontrer qu'il subvenait à ses besoins autrement qu'en volant. En l'absence de preuves formelles et d'aveux circonstanciés et vérifiables sur ce point, le doute subsistant doit lui profiter. Partant, son acquittement sera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3.1.2.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4e éd., Bâle 2019, n. 130 s.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3.1.3.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Une peine d'ensemble en</w:t>
      </w:r>
    </w:p>
    <w:p>
      <w:r>
        <w:t>- 12/22 - P/9868/2019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313 consid. 1.1.1 ; ATF 144 IV 217 consid. 3.5 ; ATF 127 IV 101 consid. 2b p. 104 ; arrêts du Tribunal fédéral 6B_1216/2017 du 11 juin 2018 consid. 1.1.1 ; 6B_1175/2017 du 11 avril 2018 consid. 2.1 in medio). Cette disposition ne prévoit aucune exception. Le prononcé d'une peine unique dans le sens d'un examen global de tous les délits à juger n'est pas possible (ATF 144 IV 217 consid. 3.5.4 ; ATF 144 IV 313 consid. 1.1.2). 3.1.4.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En présence d'une ordonnance pénale, la date de l'échéance du délai d'opposition est déterminante pour l'application de l'art. 49 al. 2 CP (M. DUPUIS / B. GELLER / G. MONNIER / L. MOREILLON / C. PIGUET / C. BETTEX / D. SOLL [éd.]), Code pénal, Petit commentaire, Bâle 2012, n. 26 ad art. 49 ; cf. art. 356 al. 1 2e phr. CPP). Il n'y a pas "condamnation" au sens de l'art. 49 al. 2 CP en présence d'un "jugement" à caractère provisoire (ATF 127 IV 106 consid. 2c). Ainsi, si les faits qui font l'objet du second jugement se sont produits après le prononcé d'une ordonnance de condamnation, mais encore dans le délai d'opposition, la peine doit être fixée en application de l'art. 49 al. 2 CP, même si l'entrée en force, à défaut d'opposition, est postérieure. En effet, avant l'échéance du délai d'opposition, l'ordonnance pénale n'est pas un jugement (Tessin, CCRP, 10.09.1985 in BJP 1993 n. 366). Si le prévenu fait opposition à l'ordonnance, qui devient alors caduque, il appartiendra au juge saisi de l'opposition de tenir compte des faits relatés dans le jugement pour arrêter une peine d'ensemble et fixer la peine complémentaire qui en résulte (Luzern, OG, II.</w:t>
      </w:r>
    </w:p>
    <w:p>
      <w:r>
        <w:t>- 13/22 - P/9868/2019 Kammer, 14.05.1985 in BJP 1988 n. 459 ; R. ROTH / L. MOREILLON [éds], Code pénal I : art. 1-100 CP, Bâle 2009, n. 84 ad art. 49 ; ACPR/369/2015 du 3 juillet 2015 consid. 2.1.).</w:t>
      </w:r>
    </w:p>
    <w:p>
      <w:r>
        <w:rPr>
          <w:b/>
        </w:rPr>
        <w:t>E. 3.2</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rPr>
          <w:b/>
        </w:rPr>
        <w:t>E. 3.3</w:t>
      </w:r>
    </w:p>
    <w:p>
      <w:r>
        <w:t>En l'espèce, la faute de l'intimé n'est pas négligeable. Il a porté atteinte au patrimoine de sa victime et a troublé l'ordre de l'aéroport de Genève. Son mobile, qui relève de l'appât du gain, est purement égoïste. Sa situation personnelle, certes précaire, ne justifie pas ses actes puisqu'elle est la conséquence de sa seule volonté de demeurer en Suisse, dans la rue, alors même que sa cousine pouvait l'accueillir chez elle. Il ressort des images de vidéo surveillance de l'aéroport qu'au moment du vol du sac du plaignant, le comportement de l'intimé était cohérent, réfléchi et précautionneux, sans qu'une quelconque désorganisation mentale ne puisse être constatée. Au contraire, il a agi méthodiquement en jaugeant d'abord l'objet de son méfait puis en s'assurant que son propriétaire n'était pas dans les alentours avant de s'en emparer définitivement et de l'emporter avec lui. Par la suite et uniquement une fois qu'il se savait hors de portée de la police, il a procédé à l'évaluation de la valeur du contenu du sac, qu'il a jugée nulle. Il avait donc la capacité pleine et entière d'apprécier le caractère illicite de ses actes et de se déterminer d'après cette appréciation. Ainsi, aucune diminution de responsabilité ne sera retenue in concreto. Sa collaboration ne peut pas être qualifiée de bonne. Il pouvait difficilement contester le vol et la violation de domicile alors qu'il apparait clairement en train d'agir sur les images de vidéosurveillance et qu'il était en possession du sac du plaignant au moment de son interpellation. Devant le premier juge il a néanmoins cherché à s'affranchir de toute responsabilité, avançant un désordre psychique, alors</w:t>
      </w:r>
    </w:p>
    <w:p>
      <w:r>
        <w:t>- 14/22 - P/9868/2019 qu'il apparait sur ces images qu'il a agi méthodiquement, à l'instar du modus adopté deux jours plus tôt. Sa prise de conscience est nulle. Il n'a manifesté aucun regret et s'il a indiqué vouloir trouver du travail et continuer à suivre son traitement, il n'a toutefois aucunement fait mention d'un quelconque projet de vie étayé et dans la légalité. Sa première arrestation, qui a donné lieu à sa condamnation pour des faits spécifiques à une peine privative de liberté de 90 jours assortie du sursis ne l'a pas dissuadé de récidiver à peine deux jours plus tard. Le pronostic quant au comportement futur de l'intimé est partant clairement défavorable. Le risque de récidive est élevé étant relevé que sa situation personnelle actuelle n'est pas meilleure que celle prévalant au moment des infractions quand bien même il semble être retourné au Brésil. Le prévenu n'est pas autorisé à travailler en Suisse et ne dispose d'aucune source de revenu avérée, de sorte qu'il ne sera pas en mesure de s'acquitter d'une peine pécuniaire. Dans ces conditions, une peine privative de liberté ferme s'impose, puisqu'elle apparaît être le seul moyen de le détourner de la commission de nouvelles infractions. L'infraction de vol devrait être sanctionnée par une peine privative de liberté de 60 jours et celle de violation de domicile devrait l'être par une peine privative de liberté de 40 jours, au vu de la récidive. Le concours entre ces deux infractions commande une augmentation de la peine fixée pour la plus grave d'entre elles (la première) dans une juste proportion. Par ailleurs, dans la mesure où une peine privative de liberté est prononcée, elle doit être fixée de manière complémentaire à celle du même genre, de 90 jours, prononcée par le MP le 7 mai 2019. C'est ainsi au final une peine privative de liberté ferme de 90 jours qui sera prononcée dans la présente procédure. La renonciation à révoquer le sursis accordé par le MP dans son ordonnance pénale du 7 mai 2019 est acquise à l'intimé.</w:t>
      </w:r>
    </w:p>
    <w:p>
      <w:r>
        <w:rPr>
          <w:b/>
        </w:rPr>
        <w:t>E. 4.1</w:t>
      </w:r>
    </w:p>
    <w:p>
      <w:r>
        <w:t>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w:t>
      </w:r>
    </w:p>
    <w:p>
      <w:r>
        <w:rPr>
          <w:b/>
        </w:rPr>
        <w:t>E. 4.2</w:t>
      </w:r>
    </w:p>
    <w:p>
      <w:r>
        <w:t>En l'espèce, la détention déjà purgée, de 91 jours, excède d'un jour les 90 jours de peine privative de liberté présentement prononcés, lequel sera dès lors imputé sur la peine privative de liberté de 90 jours prononcée le 7 mai 2019, non exécutée à ce jour. 5. 5.1.1. Dans un arrêt 6B_1221/2018 du 27 septembre 2019 destiné à la publication, le Tribunal fédéral retient qu'il faut procéder à une interprétation de l'art 66a let. d CP conforme à la Cst. L'art. 121 Cst prévoit l'expulsion obligatoire en cas de "vol avec effraction", ce que le législateur a traduit à l'art. 66a let. d CP par vol avec violation de domicile, le CP ne connaissant pas la figure du "vol avec effraction". Il faut ainsi retenir que celui qui commet un vol dans un commerce en commettant une violation de domicile parce qu'il fait l'objet d'une interdiction d'entrée dans ce commerce, ne commet pas une infraction du catalogue de l'art. 66a CP. En effet, une telle violation de domicile, qui contrevient à une interdiction d'entrée sous seing privé, ne constitue pas une infraction de "vol avec effraction" et ne doit donc pas entraîner une expulsion obligatoire.</w:t>
      </w:r>
    </w:p>
    <w:p>
      <w:r>
        <w:t>- 16/22 - P/9868/2019 5.1.2. Conformément à l'art. 66abis CP, le juge peut expulser un étranger du territoire suisse pour une durée de trois à quinze ans si, pour un crime ou un délit non visé à l'art. 66a CP,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ne contredit pas l'interdiction de la double peine qui découle notamment de l'art. 6 CEDH (AARP/202/2017 du 16 juin 2017 consid. 2.5). Il s'agit d'une Kannvorschrift (G. MÜNCH / F. DE WECK, Die neue Landes- verweisung, in Art. 66a ff. StGB, Revue de l'avocat 2016, p. 163 ; G. FIOLKA / L. VETTERLI, Landesverweisung nach Art. 66a StGB als strafrechtliche Sanktion,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 verweisung, cahier spécial, Plaidoyer 5/2016, p. 98). L'application de l'art. 66abis CP impose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 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p. 166 ; M. BUSSLINGER / P. UEBERSAX, op. cit., p. 97 et 103 ; K. KÜMIN, op. cit., p. 14 ; AARP/185/2017 du 2 juin 2017 consid. 2.2). 5.2. La durée du séjour en Suisse du prévenu n'a été que de quelques mois, étant relevé qu'il est retourné au Brésil en septembre 2019, conformément à la décision de renvoi prise par l'OCPM. Il compte désormais deux condamnations en Suisse.</w:t>
      </w:r>
    </w:p>
    <w:p>
      <w:r>
        <w:t>- 17/22 - P/9868/2019 Il ne parle pas français et n'a occupé aucun emploi durant son séjour si bien que son intégration peut être considérée comme nulle. Il n'a pas de famille ou amis proches en Suisse à l'exception de sa cousine, laquelle ne souhaite plus l'héberger. L'expulsion de l'intimé au Brésil ne rend pas impossible la mise en place d'un traitement pour ses troubles psychiatriques, du moins il ne le prétend ni a fortiori ne le démontre pas étant au contraire relevé qu'aux dires de son conseil il y est précisément spécifiquement soigné. Par ailleurs, sa présence en Suisse n'a pas paru particulièrement l'inciter à respecter la prise de sa médication, ce qu'il a admis et a avancé pour s'affranchir de toute responsabilité dans les infractions reprochées. Ainsi, il se justifie de prononcer son expulsion de Suisse pour une durée de trois ans, correspondant au minimum légal en vigueur, ce qui s'avère proportionné dans le cas d'espèce.</w:t>
      </w:r>
    </w:p>
    <w:p>
      <w:r>
        <w:rPr>
          <w:b/>
        </w:rPr>
        <w:t>E. 6</w:t>
      </w:r>
    </w:p>
    <w:p>
      <w:r>
        <w:t>6.1.1.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 6.1.2. L'appel du MP ayant partiellement été admis, 3/4 des frais de la procédure d'appel seront mis à la charge de l'intimé. Le solde sera laissé à la charge de l'Etat.</w:t>
      </w:r>
    </w:p>
    <w:p>
      <w:r>
        <w:t>6.2.1. Selon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(al.2).</w:t>
      </w:r>
    </w:p>
    <w:p>
      <w:r>
        <w:t>6.2.2. En l'espèce, vu la condamnation en seconde instance des chefs de vol et de violation de domicile, la moitié des frais de première instance sera mis à la charge de l'intimé et le solde sera laissé à la charge de l'Etat.</w:t>
      </w:r>
    </w:p>
    <w:p>
      <w:r>
        <w:rPr>
          <w:b/>
        </w:rPr>
        <w:t>E. 7</w:t>
      </w:r>
    </w:p>
    <w:p>
      <w:r>
        <w:t>7.1.1.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de CHF 200.- pour le chef d'étude CHF 200.- (let. c) et de CHF 110.- pour l'avocat stagiaire CHF 110.- (let. a). En cas d'assujettissement, l'équivalent de la TVA est versé en sus.</w:t>
      </w:r>
    </w:p>
    <w:p>
      <w:r>
        <w:t>Seules les heures nécessaires à la défense devant les juridictions cantonales sont retenues et sont appréciées en fonction notamment de la nature, de l'importance et des difficultés de la cause, de la valeur litigieuse, de la qualité du travail fourni et du</w:t>
      </w:r>
    </w:p>
    <w:p>
      <w:r>
        <w:t>- 18/22 - P/9868/2019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w:t>
      </w:r>
    </w:p>
    <w:p>
      <w:r>
        <w:rPr>
          <w:b/>
        </w:rPr>
        <w:t>E. 7.2</w:t>
      </w:r>
    </w:p>
    <w:p>
      <w:r>
        <w:t>En l'occurrence, en application des principes qui précèdent, il convient de retrancher de l'état de frais présenté par Me B______ l'un des entretiens avec un membre de la famille du prévenu (le 12 août 2019), seul celui de 30 minutes, le</w:t>
      </w:r>
    </w:p>
    <w:p>
      <w:r>
        <w:rPr>
          <w:b/>
        </w:rPr>
        <w:t>E. 7.3</w:t>
      </w:r>
    </w:p>
    <w:p>
      <w:r>
        <w:t>En conclusion, l'indemnité sera arrêtée à CHF 1'366.70 correspondant à 4h25 d'activité à CHF 200.-/heure (CHF 883.35), 1h35 à CHF 110.-/heure (CHF 174.15), plus la majoration forfaitaire de 20% (CHF 211.50) et l'équivalent de la TVA au taux de 7.7% en CHF 97.70. * * * * *</w:t>
      </w:r>
    </w:p>
    <w:p>
      <w:r>
        <w:t>- 20/22 - P/9868/2019</w:t>
      </w:r>
    </w:p>
    <w:p>
      <w:r>
        <w:rPr>
          <w:b/>
        </w:rPr>
        <w:t>E. 12</w:t>
      </w:r>
    </w:p>
    <w:p>
      <w:r>
        <w:t>juillet 2015 consid. 8.2.2.3, 8.2.2.6, 8.3.1.1 et 8.3.2.1).</w:t>
      </w:r>
    </w:p>
    <w:p>
      <w:r>
        <w:t>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(AARP/204/2016 du 9 mai 2016 consid. 7.3 et AARP/109/2016 du</w:t>
      </w:r>
    </w:p>
    <w:p>
      <w:r>
        <w:rPr>
          <w:b/>
        </w:rPr>
        <w:t>E. 17</w:t>
      </w:r>
    </w:p>
    <w:p>
      <w:r>
        <w:t>mars 2016 consid. 8.2.4 et 8.3.1 [rédaction du mémoire d'appel]).</w:t>
      </w:r>
    </w:p>
    <w:p>
      <w:r>
        <w:t>7.1.3. Le travail consistant en des recherches juridiques, sauf questions particulière- 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t>- 19/22 - P/9868/2019 7.1.4. Les entretiens avec la famille du prévenu ne sont en principe pas indemnisés par l'assistance juridique, ne relevant pas de la défense (AARP/295/2015 du 12 juillet 2015 consid. 8.1.4.4 et 8.2.2.2 confirmé sur ce point par la décision de la Cour des plaintes du Tribunal pénal fédéral BB.2015.85 du 12 avril 2016 consid. 3.4 ; AARP/500/2013 du 28 octobre 2013).</w:t>
      </w:r>
    </w:p>
    <w:p>
      <w:r>
        <w:rPr>
          <w:b/>
        </w:rPr>
        <w:t>E. 19</w:t>
      </w:r>
    </w:p>
    <w:p>
      <w:r>
        <w:t>novembre 2019, pouvant être, exceptionnellement dans les circonstances d'espèce, considéré comme utile pour la préparation des écritures en appel. L'entretien du</w:t>
      </w:r>
    </w:p>
    <w:p>
      <w:r>
        <w:rPr>
          <w:b/>
        </w:rPr>
        <w:t>E. 24</w:t>
      </w:r>
    </w:p>
    <w:p>
      <w:r>
        <w:t>octobre 2019 avec le MP a eu lieu par téléphone et entre dans le forfait pour activités diverses, de même que les postes de prises de connaissance de l'appel, les deux déterminations sur la procédure écrite, les recherches juridiques et l'"envoi de l'appel", toutes activités également couvertes par le forfait pour activités diverses, respectivement n'étant pas indemnisées par l'assistance juridique. Autrement dit, il sera retenu 30 minutes d'entretien le 19 novembre 2019 (stagiaire),</w:t>
      </w:r>
    </w:p>
    <w:p>
      <w:r>
        <w:rPr>
          <w:b/>
        </w:rPr>
        <w:t>E. 25</w:t>
      </w:r>
    </w:p>
    <w:p>
      <w:r>
        <w:t>minutes de travail sur dossier du 29 octobre 2019 (associé), 4h pour la rédaction du mémoire d'appel (associé), amplement suffisantes, pour moins de 2.5 pages de motivation, à bon escient, 40 minutes de travail sur dossier du 1er octobre 2019 (stagiaire) et 25 minutes de prise de connaissance de l'appel motivé le 5 décembre 2019 (stagiaire).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