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AARP/308/2020 vom 7. September 2020</w:t>
      </w:r>
    </w:p>
    <w:p>
      <w:r>
        <w:t>GE Cour de justice, 2020-09-07, FR</w:t>
      </w:r>
    </w:p>
    <w:p>
      <w:r>
        <w:rPr>
          <w:b/>
        </w:rPr>
        <w:t xml:space="preserve">Quelle: </w:t>
      </w:r>
      <w:r>
        <w:t>https://mcp.opencaselaw.ch/entscheid/ge_gerichte_AARP_308_2020</w:t>
      </w:r>
    </w:p>
    <w:p>
      <w:r>
        <w:t>FR: GE_GERICHTE AARP/308/2020 du 7 septembre 2020</w:t>
      </w:r>
    </w:p>
    <w:p>
      <w:r>
        <w:t>IT: GE_GERICHTE AARP/308/2020 del 7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w:t>
      </w:r>
    </w:p>
    <w:p>
      <w:r>
        <w:t>- 9/17 - P/10263/2019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En l'espèce, la CPAR, à l'instar des premiers juges, retient que le modus operandi (outil utilisé, procédé par pesée, butin visé, type de locaux visités) n'est pas suffisamment particulier pour signer indubitablement un cambriolage dont le prévenu serait l'auteur, quand bien même le vol de l'EPICERIE S______ a eu lieu la même semaine et à proximité de deux autres cambriolages reconnus par l'appelant. De plus, le dossier de la procédure ne contient aucun élément objectif (ADN, vidéosurveillance) permettant de relier le prévenu à ce cambriolage. L'analyse des raccordements téléphoniques utilisés par A______ n'a pas non plus permis d'établir sa présence à proximité le jour des faits. En application du principe in dubio pro reo, un doute important demeure quant à la participation de l'appelant à ce cambriolage de sorte que son acquittement prononcé par les premiers juges et relatif aux faits sous chiffre B.I.8 de l'acte d'accusation sera confirmé. 2.2.2. Le 19 octobre 2018, A______ a tenté de pénétrer sur le territoire suisse en compagnie de M______ et de N______ à bord d'un véhicule Z______ [marque, modèle]. Deux jours plus tard, il était filmé en compagnie des deux mêmes hommes dans deux stations-essence O______, à Genève puis à AA______ [ZH]. Ce jour-là, sur les images de vidéosurveillance des deux stations-service, N______ apparaît effectuant le plein d'essence et habillé d'un gilet doudoune bleu, d'un jeans et de baskets. Le 23 octobre, les images de vidéosurveillance du vol d'essence montrent un homme, capuche sur la tête, habillé d'un gilet doudoune bleu, d'un jeans et d'une paire de baskets, en train d'effectuer le vol d'essence. La CPAR retient qu'il est hautement vraisemblable qu'il s'agisse de N______ au vu de l'habillement quasi identique et s'appuyant sur la répartition des rôles adoptée par les trois hommes. Aucune autre image vidéo ne permet d'attester de la présence de A______ à la STATION-SERVICE O______ de P______ au moment du vol, contrairement aux enregistrements effectués dans les deux autres stations-essence.</w:t>
      </w:r>
    </w:p>
    <w:p>
      <w:r>
        <w:t>- 10/17 - P/10263/2019 Partant, à défaut d'éléments objectifs permettant de démontrer la présence de A______ en compagnie de N______, dans le respect du principe in dubio pro reo, le prévenu ne se verra pas imputer le vol d'essence et l'acquittement prononcé en première instance pour ces faits sera confirmé. A fortiori, il en va de même s'agissant du vol de plaques d'immatriculation. L'acquittement prononcé pour les faits sous chiffre B.II.1 sera maintenu.</w:t>
      </w:r>
    </w:p>
    <w:p>
      <w:r>
        <w:rPr>
          <w:b/>
        </w:rPr>
        <w:t>E. 3.1</w:t>
      </w:r>
    </w:p>
    <w:p>
      <w:r>
        <w:t>Le vol est sanctionné d’une peine privative de liberté de cinq ans au plus ou d’une peine pécuniaire (art. 139 ch. 1 CP). S’il est réalisé en bande, la peine menace est une peine privative de liberté de dix ans au plus ou une peine pécuniaire de 90 jours-amende au moins (art. 139 ch. 2 CP). Lorsque la circonstance aggravante du métier est donnée, l’auteur encourt une peine privative de liberté de six mois à dix ans (art. 139 ch. 3 CP). La réalisation de l'aggravante du métier absorbe la tentative (ATF 123 IV 113 consid. 2c et d). La violation de domicile, les dommages à la propriété et la conduite d’un véhicule sans autorisation sont punis d’une peine privative de liberté de trois ans au plus ou d’une peine pécuniaire (art. 144 al. 1 et 186 CP, art. 95 al. 1 let. a LCR).</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w:t>
      </w:r>
    </w:p>
    <w:p>
      <w:r>
        <w:t>- 11/17 - P/10263/2019 excéder de plus de la moitié le maximum de la peine prévue pour cette infraction. Il est en outre lié par le maximum légal de chaque peine.</w:t>
      </w:r>
    </w:p>
    <w:p>
      <w:r>
        <w:rPr>
          <w:b/>
        </w:rPr>
        <w:t>E. 3.4</w:t>
      </w:r>
    </w:p>
    <w:p>
      <w:r>
        <w:t>En l’espèce, la faute de l'appelant est grave. Il a agi à de multiples reprises (sept cambriolages consommés et deux tentatives), dont cinq fois les deux semaines précédant son interpellation, laquelle a, à n'en pas douter, mis un terme à ses agissements criminels. Il a causé des préjudices importants à ses victimes et a agi autant de fois que l'occasion s'est présentée. Certes, il s'en est pris exclusivement au patrimoine d'autrui, sans user de violence, préférant agir de nuit. Ce procédé s'explique au demeurant par le butin recherché, des cigarettes, qu'il était aisé de revendre – il disposait selon toute vraisemblance des réseaux suffisants pour écouler rapidement la marchandise dérobée – et lui permettait d'engranger les fonds dont il avait besoin pour lui et sa famille.</w:t>
      </w:r>
    </w:p>
    <w:p>
      <w:r>
        <w:t>Sa collaboration est moyenne dans la mesure où il n'a admis les faits qu'une fois confronté aux éléments objectifs du dossier le reliant aux cambriolages et tentatives de cambriolage. Ses aveux, sauf à confirmer les soupçons importants et soutenus par les pièces du dossier, n'ont pas apporté d'éléments utiles ou supplémentaires.</w:t>
      </w:r>
    </w:p>
    <w:p>
      <w:r>
        <w:t>Son mobile est égoïste et lié à l'appât du gain facile.</w:t>
      </w:r>
    </w:p>
    <w:p>
      <w:r>
        <w:t>Sa situation personnelle, bien que précaire, n'explique nullement ses agissements. Il semble avoir pris conscience en détention des conséquences de ses agissements sur sa vie privée (séparation de ses enfants, de sa compagne et de la vie qui passe en son absence, maladie de son père), ainsi que de la valeur de l'argent gagné par le fruit de son travail et regrette dès lors ses actes. Sa prise de conscience ne porte néanmoins pas sur le tort causé aux victimes et la gravité de ses actes.</w:t>
      </w:r>
    </w:p>
    <w:p>
      <w:r>
        <w:t>Les antécédents étrangers du prévenu sont spécifiques et récents, étant précisé qu'il y a eu récidive à bref délai après sa détention subie en Allemagne. Son arrestation en Suisse a mis un terme à un mode de vie bien ancré dans la délinquance patrimoniale par-delà les frontières.</w:t>
      </w:r>
    </w:p>
    <w:p>
      <w:r>
        <w:t>Le prononcé d'une peine privative de liberté s'impose pour les infractions de vol en raison de la réalisation de l'aggravante de la bande. Il en va de même pour les autres infractions commises, ce qui n'est au demeurant pas contesté.</w:t>
      </w:r>
    </w:p>
    <w:p>
      <w:r>
        <w:t>Les aggravantes du métier et de la bande excluent la prise en compte de l'art. 49 CP pour le vol (concours réel imparfait), tandis que les tentatives de vol sont absorbées par les infractions consommées. Il y a concours avec les autres infractions commises, ce qui justifie de prononcer une peine privative de liberté aggravée (art. 49 al. 1 CP). Les actes abstraitement les plus graves sont ceux qualifiés de vols par métier et en bande (art. 139 al. 1ch. 2 et ch. 3 CP), pour lesquels la CPAR juge appropriée une peine privative de liberté de 21 mois. A ces 21 mois s'ajouteront neuf mois en lien avec les infractions de conduite d'un véhicule sans autorisation (un mois), de</w:t>
      </w:r>
    </w:p>
    <w:p>
      <w:r>
        <w:t>- 12/17 - P/10263/2019 violations de domicile (quatre mois) et de dommages à la propriété (quatre mois), d'où une peine privative de liberté globale de 30 mois.</w:t>
      </w:r>
    </w:p>
    <w:p>
      <w:r>
        <w:rPr>
          <w:b/>
        </w:rPr>
        <w:t>E. 4.1</w:t>
      </w:r>
    </w:p>
    <w:p>
      <w:r>
        <w:t>Conformément à l'art. 66a al. 1 let. c et d CP, le juge expulse un étranger du territoire suisse pour une durée de cinq à quinze ans s'il est reconnu coupable de vol qualifié (art. 139 ch. 2 et 3 CP) ou de vol en lien avec une violation de domicile (art. 139 et 186 CP), quelle que soit la quotité de la peine prononcée à son encontre. L'art. 66a al. 1 CP s'applique également à la tentative de commettre une infraction énumérée dans le catalogue (ATF 144 IV 168 consid. 1.4.2).</w:t>
      </w:r>
    </w:p>
    <w:p>
      <w:r>
        <w:rPr>
          <w:b/>
        </w:rPr>
        <w:t>E. 4.2</w:t>
      </w:r>
    </w:p>
    <w:p>
      <w:r>
        <w:t>En l'espèce, il s'impose de prononcer l'expulsion de l'appelant du territoire suisse pour une durée de 10 ans. Le prévenu n'a aucun lien avec la Suisse. Il a choisi de commettre ces vols dans ce pays par facilité et appât du gain. La période pénale est relativement brève (moins d'une année). Il a intensifié la commission de cambriolages dans les deux semaines précédant son interpellation, laquelle a permis d'y mettre un terme. Le préjudice causé aux parties plaignantes est considérable.</w:t>
      </w:r>
    </w:p>
    <w:p>
      <w:r>
        <w:rPr>
          <w:b/>
        </w:rPr>
        <w:t>E. 4.3</w:t>
      </w:r>
    </w:p>
    <w:p>
      <w:r>
        <w:t>Il n'y a pas lieu d'étendre la mesure d'expulsion prononcée à l'ensemble de l'espace Schengen, le prévenu étant ressortissant d'un État membre de l'Union européenne.</w:t>
      </w:r>
    </w:p>
    <w:p>
      <w:r>
        <w:rPr>
          <w:b/>
        </w:rPr>
        <w:t>E. 5</w:t>
      </w:r>
    </w:p>
    <w:p>
      <w:r>
        <w:t>Les motifs ayant conduit les premiers juges à prononcer, par ordonnance séparée du 25 février 2020, le maintien de l’appelant en détention pour des motifs de sûreté sont toujours d'actualité, ce que celui-ci ne conteste au demeurant pas, de sorte que la mesure sera reconduite mutatis mutandis (ATF 139 IV 277 consid. 2.2 à 2.3).</w:t>
      </w:r>
    </w:p>
    <w:p>
      <w:r>
        <w:rPr>
          <w:b/>
        </w:rPr>
        <w:t>E. 6</w:t>
      </w:r>
    </w:p>
    <w:p>
      <w:r>
        <w:t>Le MP, appelant joint, obtient gain de cause sur la durée de l'expulsion, mais succombe s'agissant des verdicts de culpabilité pour les faits sous chiffre B.I.3, B.I.8 et B.II.1 de l'acte d'accusation et de l'aggravation de la peine y relative. Il se justifie ainsi de mettre à la charge de l'appelant, qui succombe, 50% des frais de la procédure d'appel, qui comprennent un émolument de CHF 1'500.-, son appel portant exclusivement sur la quotité de la peine.</w:t>
      </w:r>
    </w:p>
    <w:p>
      <w:r>
        <w:t>Au vu de ce qui précède, en particulier de la confirmation des verdicts de culpabilité et de la peine, la répartition des frais de première instance ne sera pas revue (art. 428 al. 3 CPP).</w:t>
      </w:r>
    </w:p>
    <w:p>
      <w:r>
        <w:rPr>
          <w:b/>
        </w:rPr>
        <w:t>E. 7.1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w:t>
      </w:r>
    </w:p>
    <w:p>
      <w:r>
        <w:t>Conformément à l'art. 16 al. 2 RAJ, seules les heures nécessaires sont retenues. Elles sont appréciées en fonction notamment de la nature, de l'importance, et des</w:t>
      </w:r>
    </w:p>
    <w:p>
      <w:r>
        <w:t>- 13/17 - P/10263/2019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Seules 05h00 consacrées à la préparation des débats d'appel seront retenues pour la défense du prévenu. La CPAR a pris acte de ce que Me AC______ avait remplacé sa collaboratrice au pied levé. Il n'en demeure pas moins qu'il est un avocat expérimenté et que le cadre des débats d'appel est limité. Davantage n'aurait pas été octroyé à l'avocate nommée, le dossier étant censé bien connu puisqu'il venait d'être plaidé en première instance. Sera également retranchée l'heure consacrée à l'étude du jugement de première instance, laquelle est comprise dans le forfait de 10%.</w:t>
      </w:r>
    </w:p>
    <w:p>
      <w:r>
        <w:t>En conclusion, l'indemnité sera arrêtée à CHF 3'087.50 correspondant à 07h30 d'activité au tarif de CHF 200.-/heure (CHF 1'500.-) et 07h30 d'activité au tarif de CHF 150.-/heure (CHF 1'125.-), plus la majoration forfaitaire de 10% (CHF 262.50) et CHF 200.- à titre de débours. * * * * *</w:t>
      </w:r>
    </w:p>
    <w:p>
      <w:r>
        <w:t>- 14/17 - P/10263/2019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