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AARP/307/2019 vom 29. Januar 2019</w:t>
      </w:r>
    </w:p>
    <w:p>
      <w:r>
        <w:t>GE Cour de justice, 2019-01-29, FR</w:t>
      </w:r>
    </w:p>
    <w:p>
      <w:r>
        <w:rPr>
          <w:b/>
        </w:rPr>
        <w:t xml:space="preserve">Quelle: </w:t>
      </w:r>
      <w:r>
        <w:t>https://mcp.opencaselaw.ch/entscheid/ge_gerichte_AARP_307_2019</w:t>
      </w:r>
    </w:p>
    <w:p>
      <w:r>
        <w:t>FR: GE_GERICHTE AARP/307/2019 du 29 janvier 2019</w:t>
      </w:r>
    </w:p>
    <w:p>
      <w:r>
        <w:t>IT: GE_GERICHTE AARP/307/2019 del 29 gennaio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w:t>
      </w:r>
    </w:p>
    <w:p>
      <w:r>
        <w:rPr>
          <w:b/>
        </w:rPr>
        <w:t>E. 2.2</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6B_896/2018 du 7 février 2019 consid. 2.1 ; 6B_463/2018 du 11 janvier 2019 consid. 1.1).</w:t>
      </w:r>
    </w:p>
    <w:p>
      <w:r>
        <w:rPr>
          <w:b/>
        </w:rPr>
        <w:t>E. 2.3</w:t>
      </w:r>
    </w:p>
    <w:p>
      <w:r>
        <w:t>La limitation de vitesse à 50 km/h au ______ route 1______ est établie par les pièces de la procédure, et n’a d’ailleurs jamais été contestée par l’appelant, gendarme de profession, avant que cet argument ne soit soulevé par ses nouveaux avocats en appel. Ceux-ci fondent toutefois leur argumentation sur une analyse erronée des dispositions légales applicables. En effet, l’art. 16 al. 2 OSR prescrit que, sous réserve de dispositions dérogatoires concernant certains signaux de prescription, la prescription annoncée vaut à l’endroit ou à partir de l’endroit où le signal est placé, jusqu’à la fin de la prochaine intersection ; à cet endroit, le signal sera répété si sa validité doit s’étendre au-delà. Les signaux «Vitesse maximale» (2.30), «Vitesse minimale» (2.31), «Interdiction de dépasser» (2.44), «Interdiction aux camions de dépasser» (2.45), «Interdiction de s’arrêter» (2.49) et «Interdiction de parquer» (2.50) doivent être observés jusqu’au signal correspondant indiquant la fin de la prescription (2.53, 2.54, 2.55, 2.56, 2.58) mais au plus jusqu’à la fin de la prochaine intersection. Le signal «Vitesse maximale 50, Limite générale» (2.30.1) s’applique dans toute la zone bâtie de façon compacte à l’intérieur des localités (art. 22, al. 3; art. 4a, al. 2, OCR). Cette disposition réserve ainsi expressément l’art. 4a al. 2 et</w:t>
      </w:r>
    </w:p>
    <w:p>
      <w:r>
        <w:rPr>
          <w:b/>
        </w:rPr>
        <w:t>E. 2.4</w:t>
      </w:r>
    </w:p>
    <w:p>
      <w:r>
        <w:t>Dans des circonstances exceptionnelles, il y a lieu d'exclure l'application du cas grave alors même que le seuil de l'excès de vitesse fixé a été atteint, par exemple si la vitesse a été limitée sur un tronçon autoroutier pour des motifs écologiques ou de modération du trafic (ATF 143 IV 508 consid. 1.3 p. 512 s). La présence du radar à hauteur du ______ route 1______ a pour objet de contrôler la vitesse des véhicules. Les motifs qui ont conduit à sa pose en ce lieu ne sont pas de nature à influencer sur la vitesse limite. Lorsque les conseils de l’appelant invoquent dans le contexte d’une violation de l’art. 90 al. 3 et 4 LCR le fait qu’un contrôle de vitesse ne serait pas valide s’il était dû à des motifs étrangers à la sécurité routière, par exemple des plaintes du voisinage pour du bruit, ils confondent les règles applicables à la fixation de la vitesse et celles relatives à la mesure de la gravité de la faute. La jurisprudence susmentionnée a pour conséquence que, lorsqu’une limite de vitesse a été réduite pour des motifs étrangers à la sécurité routière, il n’y a pas lieu, pour apprécier la gravité du dépassement de vitesse, d’appliquer les barèmes applicables à la vitesse dépassée, mais ceux en vigueur pour la vitesse générale</w:t>
      </w:r>
    </w:p>
    <w:p>
      <w:r>
        <w:t>- 8/21 - P/6405/2017 usuelle au lieu de l’infraction. L’excès de vitesse est néanmoins calculé à partir de la vitesse signalée, et non à partir de la vitesse générale usuelle. Cette jurisprudence ne permet en aucun cas de contester la validité d’une mesure ou la légitimité d’un contrôle. Il n’est donc pas nécessaire de déterminer les motifs pour lesquels un radar a été installé au ______ route 1______ pour trancher les faits soumis à l’appréciation de la Cour ; cette question préjudicielle posée par les appelants se confond avec celle relative à la limitation de vitesse en vigueur à cet endroit.</w:t>
      </w:r>
    </w:p>
    <w:p>
      <w:r>
        <w:rPr>
          <w:b/>
        </w:rPr>
        <w:t>E. 3</w:t>
      </w:r>
    </w:p>
    <w:p>
      <w:r>
        <w:t>OCR. Or, selon cette disposition, la limitation générale de vitesse à 50 km/h s’applique dans toute la zone bâtie de façon compacte à l’intérieur de la localité;</w:t>
      </w:r>
    </w:p>
    <w:p>
      <w:r>
        <w:t>- 7/21 - P/6405/2017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(al. 2). Quant à la limitation générale de vitesse à 80 km/h, elle est valable à partir du signal «Fin de la vitesse maximale 50, Limite générale» (2.53.1) ou «Fin de la vitesse maximale» (2.53). Il découle ainsi d’une simple lecture complète de ces dispositions que, si la limitation générale de vitesse à 50 km/h en localité peut débuter même en l’absence de signalisation, lorsque le conducteur pénètre en zone bâtie de façon compacte, elle ne prend fin qu’avec une signalisation expresse, même s’il quitte la zone bâtie de façon compacte ; la limite de vitesse générale ne passe à 80 km/h qu’avec un panneau explicite en ce sens. L’art. 4a OCR est une dérogation claire à la règle de l’art. 16 al. 2 OSR. La présence éventuelle d’intersections ne met ainsi pas fin à la limitation générale, qui est de 50 km/h jusqu’au panneau de fin de limitation (voire jusqu’à la signalisation d’une limite de vitesse supérieure à 50 km/h). En l’espèce, il est établi par les pièces de la procédure que le radar litigieux se trouve en sortie de localité, mais avant toute autre signalisation de vitesse qui n’intervient qu’environ 250 mètres plus loin. Aucun transport sur place n’est ainsi nécessaire pour constater ou non la présence d’intersections, respectivement le caractère dense de la zone bâtie, la vitesse étant déterminée par l’application de la loi et notamment de l’art. 4a OCR.</w:t>
      </w:r>
    </w:p>
    <w:p>
      <w:r>
        <w:rPr>
          <w:b/>
        </w:rPr>
        <w:t>E. 3.1</w:t>
      </w:r>
    </w:p>
    <w:p>
      <w:r>
        <w:t>Aux termes de l'art. 13 al. 1 du Code pénal suisse du 21 décembre 1937 (CP - RS 311.0),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L'erreur peut cependant aussi porter sur un fait justificatif, tel le cas de l'état de nécessité ou de la légitime défense putatifs ou encore sur un autre élément qui peut avoir pour effet d'atténuer ou d'exclure la peine (ATF 129 IV 257 consid. 2.2.1 p. 259 ; 129 IV 6).</w:t>
      </w:r>
    </w:p>
    <w:p>
      <w:r>
        <w:rPr>
          <w:b/>
        </w:rPr>
        <w:t>E. 3.2</w:t>
      </w:r>
    </w:p>
    <w:p>
      <w:r>
        <w:t>L'art. 90 al. 3 LCR définit et réprime les infractions particulièrement graves aux règles de la circulation routière, dites "délit de chauffard". Cette disposition réprime le comportement de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 appréhendés (cf. ATF 142 IV137 consid. 6.1 p. 142). À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Sur le plan subjectif, l'art. 90 al. 3 LCR déroge à l'art. 100 ch. 1 LCR et limite la punissabilité à l'intention. Celle-ci doit porter sur la violation des règles</w:t>
      </w:r>
    </w:p>
    <w:p>
      <w:r>
        <w:t>- 9/21 - P/6405/2017 fondamentales de la circulation routière ainsi que sur le risque d'accident pouvant entraîner de graves blessures ou la mort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w:t>
      </w:r>
    </w:p>
    <w:p>
      <w:r>
        <w:rPr>
          <w:b/>
        </w:rPr>
        <w:t>E. 3.3</w:t>
      </w:r>
    </w:p>
    <w:p>
      <w:r>
        <w:t>Selon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La vitesse doit toujours être adaptée aux circonstances, notamment aux particularités du véhicule et du chargement, ainsi qu'aux conditions de la route, de la circulation et de la visibilité.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(ATF 143 IV 508 consid. 1.3 p. 512).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w:t>
      </w:r>
    </w:p>
    <w:p>
      <w:r>
        <w:t>- 10/21 - P/6405/2017</w:t>
      </w:r>
    </w:p>
    <w:p>
      <w:r>
        <w:rPr>
          <w:b/>
        </w:rPr>
        <w:t>E. 3.4</w:t>
      </w:r>
    </w:p>
    <w:p>
      <w:r>
        <w:t>À teneur de l'art. 100 ch. 4 LCR,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loi ne prévoit en revanche pas que l'infraction puisse être requalifiée en tenant compte de la différence de vitesse entre celle de l'auteur et celle qui aurait été proportionnée au cas d'espèce lorsqu'il s'agit d'une course officielle urgente (arrêt du Tribunal fédéral 6B_1161/2019 du 17 janvier 2019, consid. 2.3). Selon la Notice d'utilisation des feux bleus et des avertisseurs à deux sons alternés du</w:t>
      </w:r>
    </w:p>
    <w:p>
      <w:r>
        <w:rPr>
          <w:b/>
        </w:rPr>
        <w:t>E. 3.5</w:t>
      </w:r>
    </w:p>
    <w:p>
      <w:r>
        <w:t>Pour concrétiser les règles de prudence applicables dans les courses d’urgences, le Procureur général de Genève a édicté un ordre général à l’attention de la police concernant les courses officielles urgentes. Ce document ne figure pas à la procédure, même s’il a été évoqué à réitérées reprises. Il en ressort, selon la</w:t>
      </w:r>
    </w:p>
    <w:p>
      <w:r>
        <w:t>- 12/21 - P/6405/2017 compréhension non remise en cause qu’en avait l’appelant (pièces 4, 5, 97), que le MP a indiqué en janvier 2017 à la police que lorsque la course d’urgence concernait une infraction contre le patrimoine, la vitesse autorisée correspondait à 1.5 fois la vitesse signalée ; si la course d’urgence concernait une mise en danger de l’intégrité physique d’une personne, la vitesse autorisée correspondait au double de la vitesse signalée. De telles instructions n’ont toutefois qu'une valeur indicative pour les autorités de jugement (arrêt du Tribunal fédéral 6B_1161/2019 susmentionné, consid. 1.2.2).</w:t>
      </w:r>
    </w:p>
    <w:p>
      <w:r>
        <w:rPr>
          <w:b/>
        </w:rPr>
        <w:t>E. 3.6</w:t>
      </w:r>
    </w:p>
    <w:p>
      <w:r>
        <w:t>Les faits incriminés, commis par négligence, tombent sous le coup de l’infraction générale de l’art. 90 al. 2 LCR, punissable même si elle est commise par négligence (art. 100 ch. 1 LCR). Il faut dès lors examiner si la clause d’exclusion de punissabilité de l’art. 100 ch. 4 LCR, invoquée par l’appelant, est applicable au cas d’espèce.</w:t>
      </w:r>
    </w:p>
    <w:p>
      <w:r>
        <w:rPr>
          <w:b/>
        </w:rPr>
        <w:t>E. 3.7</w:t>
      </w:r>
    </w:p>
    <w:p>
      <w:r>
        <w:t>Le caractère de course d’urgence n’est pas contesté ; les feux bleus et la sirène du véhicule étaient enclenchés au moment de l'excès de vitesse. L’appelant a fait accélérer son véhicule, selon ses déclarations constantes, pour se porter au soutien de ses collègues, qui s’apprêtaient, selon les informations en sa possession, à interpeller les occupants d’un véhicule en fuite. Il ne se trouvait ainsi pas en situation de poursuivre directement les fugitifs, mais de prêter assistance à d’autres membres des forces de police. Selon les éléments en sa possession les fuyards poursuivis par le véhicule de la BAC et la patrouille 4______ étaient susceptibles de détenir des armes et d’avoir recours à la force pour s’opposer à leur interpellation. L’appelant et sa passagère ont tous deux confirmé avoir été motivés par la nécessité d'intervenir aussi rapidement que possible, non pas pour interpeller eux-mêmes les fugitifs, mais pour protéger les policiers qui s’apprêtaient à le faire, afin de prévenir une agression physique à leur encontre. Contrairement à ce qu’a retenu le premier juge, l’appelant ne devait pas s’attendre à ce que ses collègues interrompent leur course en raison de la vitesse excessive, puisque d’une part, dans sa vision des faits, ses collègues se trouvaient juste derrière le véhicule suspect et, surtout, celui-ci circulait sur un tronçon de la route où la limite de vitesse ne s’élevait pas à 50 km/h mais à 80 km/h, de sorte que leur vitesse n’était pas manifestement excessive. Les délinquants poursuivis étaient soupçonnés d’avoir commis des infractions contre le patrimoine, élément qui doit être pris en compte pour apprécier la proportionnalité de l’intervention. Cela étant, du point de vue de l’appelant, come déjà relevé, ses</w:t>
      </w:r>
    </w:p>
    <w:p>
      <w:r>
        <w:t>- 14/21 - P/6405/2017 collègues se trouvaient juste derrière le véhicule suspect et lui-même voulait protéger la vie et l’intégrité physique de ses collègues, au moment de l’interpellation. Cette course s’est effectivement interrompue dès qu’il a été établi qu’en réalité l’interpellation n’était pas imminente, l’appelant ayant perdu de vue les véhicules de ses collègues. Ainsi, l’excès de vitesse a été limité dans le temps et l’espace. Le tronçon de route concerné se trouve à la sortie d’une localité. Immédiatement après le radar, l’appelant a atteint une zone où la limite de vitesse s’élevait à 70 km/h, de sorte que sa vitesse n’était plus aussi excessive. Il n’en demeure pas moins que, même en retenant que la course d’urgence était motivée par la nécessité de porter assistance aux collègues de l’appelant, et donc par la volonté de prévenir une atteinte grave à leur intégrité physique, alors que nonobstant l’heure tardive il n’était pas exclu qu’un autre véhicule, voire un piéton ou un cycliste, emprunte la même voie, la vitesse de 120 km/h en sortie de localité était disproportionnée. En accélérant de manière aussi rapide, l’appelant n’a donc pas n’a pas fait preuve de toute la prudence imposée par les circonstances. Il n’a notamment pas tenu compte de la règle posée par le MP, dont il avait connaissance, lui enjoignant de ne jamais dépasser le double de la vitesse fixée, laquelle lui aurait au mieux permis de circuler à une vitesse de 100 km/h. Les faits reprochés à l’appelant demeurent ainsi illicites, faute d’entrer dans le cadre de l’art. 100 al. 4 LCR. Conformément à la dernière phrase de cette disposition, la peine à prononcer doit néanmoins être atténuée.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- 15/21 - P/6405/2017 (ATF 142 IV 137 consid. 9.1 ; 141 IV 61 consid. 6.1.1). L'art. 47 CP confère un large pouvoir d'appréciation au juge (ATF 144 IV 313 consid. 1.2). 4.2.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l'espèce, les faits ont été commis avant l'entrée en vigueur du nouveau droit. L'ancien droit, plus favorable à l'appelant, sera partant appliqué. 4.3. Conformément à l'art. 34 aCP,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Le nombre des jours-amende exprime la mesure de la peine. 4.4. Le juge suspend en règle générale, notamment l'exécution d'une peine pécuniaire, lorsqu'une peine ferme ne paraît pas nécessaire pour détourner l'auteur d'autres crimes ou délits (art. 42 al. 1 aCP).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4.5. Selon l’art. 48a CP, le juge qui atténue la peine n’est pas lié par le minimum légal de la peine prévue pour l’infraction. Il peut prononcer une peine d’un genre différent de celui qui est prévu pour l’infraction mais il reste lié par le maximum et par le minimum légal de chaque genre de peine.</w:t>
      </w:r>
    </w:p>
    <w:p>
      <w:r>
        <w:t>- 16/21 - P/6405/2017 4.6. La faute de l'appelant n'est pas négligeable. Par son comportement, certes dans une course urgente, il a pris un risque démesuré en accélérant à une vitesse déraisonnable en localité, certes juste avant la sortie de celle-ci. Il doit néanmoins être retenu qu'il a agi pour porter assistance à des collègues susceptibles d’être immédiatement confrontés à une interpellation pouvant dégénérer violemment. Sa collaboration à l'enquête est sans particularité. Sa prise de conscience est relative, même s’il a toujours admis les faits. Il sied également de ne pas hypothéquer son avenir professionnel, alors même qu'il ne ressort pas de la procédure que son comportement ait posé d’autre problème. Compte tenu de l’excès de vitesse très important, la peine théorique à infliger au prévenu devrait être de l’ordre de 120 à 150 jours-amende. En application de l’art.100 al. 4 dernière phrase LCR, il se justifie ainsi de prononcer à son encontre une peine pécuniaire, dûment atténuée, de 60 jours-amende, à CHF 190.- l'unité, assortie du sursis, délai d'épreuve de deux ans, à même de le détourner de la commission de nouvelles infractions. Cette peine sera assortie d’une amende à titre de sanction immédiate à hauteur de CHF 2000.-, dans la fourchette inférieure des 20% de la peine principale ; la peine privative de liberté de substitution sera arrêtée à dix jours. 5. L'appelant n'obtient que partiellement gain de cause. Il supportera la moitié des frais de la procédure d'appel comprenant un émolument d'arrêt de CHF 1'500.- (art. 428 al. 1 CPP et art. 14 let. e du règlement fixant le tarif des frais en matière pénale du 22 décembre 2010 [RTFMP - E 4 10.03]). Les frais de la procédure préliminaire et de première instance seront en revanche laissés intégralement à sa charge, dans la mesure où la qualification juridique de l’infraction et la peine n’ont pas eu d’influence sur ces frais (art. 428 al. 3 CPP).</w:t>
      </w:r>
    </w:p>
    <w:p>
      <w:r>
        <w:rPr>
          <w:b/>
        </w:rPr>
        <w:t>E. 6</w:t>
      </w:r>
    </w:p>
    <w:p>
      <w:r>
        <w:t>juin 2005, annexée aux Instructions concernant l'équipement des véhicules de feux bleus et d'avertisseurs à deux sons alternés émises par le Département fédéral de l'Environnement, des Transports, de l'Energie et de la Communication (ci-après: Notice du DETEC), [...]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 (ch. 1). Le conducteur d'un véhicule prioritaire doit actionner à temps le feu bleu et l'avertisseur à deux sons alternés. Les autres usagers de la route doivent être avertis assez tôt, de manière à ce qu'ils aient assez de temps pour laisser la place au véhicule prioritaire. Le fait d'avertir à temps les autres usagers de la route ne dispense pas le conducteur d'un véhicule prioritaire d'adapter sa conduite aux conditions de circulation du moment. Selon l'art. 100 ch. 4 LCR, ce n'est qu'en observant la prudence que lui imposent les circonstances particulières qu'il peut escompter ne pas être puni pour avoir enfreint les règles de la circulation. Selon l'art. 100 ch. 4 LCR, le conducteur d'un véhicule prioritaire peut, avec la prudence imposée par les circonstances, déroger également aux prescriptions sur la vitesse, qu'il s'agisse de limitations générales, de limitations indiquées par des</w:t>
      </w:r>
    </w:p>
    <w:p>
      <w:r>
        <w:t>- 11/21 - P/6405/2017 signaux ou de limitations applicables seulement à certaines catégories de véhicules [...] (ch. 5). L'autorisation de ne pas respecter les règles de la circulation va ainsi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En outre,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(arrêts du Tribunal fédéral 6B_7/2010 du 16 mars 2010 consid. 2 ; 6A.28/2003 du 11 juillet 2003 consid. 2.2).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Le Conseil fédéral s'est exprimé dans le même sens le 13 août 2014 en réponse à une intervention parlementaire qui portait précisément sur les courses urgentes visées par l'art. 100 ch. 4 LCR (question du Conseiller national Freysinger n° 14.1027 ; BO 2014 N 1872) : "Lorsque l'infraction relève du délit de chauffard au sens de l'art. 90 al. 3 et 4 LCR, par exemple lorsqu'un conducteur roule à 100 km/h au lieu des 50 km/h autorisés à l'intérieur des localités, des tiers sont dans la plupart des cas réellement mis en danger par ce grand excès de vitesse. Le caractère proportionné de telles courses pourrait dès lors difficilement être retenu. L'appréciation du cas incombe toujours au tribunal." (Arrêt du Tribunal fédéral 6B_1102/2016 du 12 décembre 2017 consid. 6.1).</w:t>
      </w:r>
    </w:p>
    <w:p>
      <w:r>
        <w:rPr>
          <w:b/>
        </w:rPr>
        <w:t>E. 6.1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le prévenu est condamné, même si la qualification juridique retenue en première instance et la peine prononcée sont modifiées. Il n’a donc droit à aucune indemnité fondée sur cette disposition.</w:t>
      </w:r>
    </w:p>
    <w:p>
      <w:r>
        <w:t>- 17/21 - P/6405/2017</w:t>
      </w:r>
    </w:p>
    <w:p>
      <w:r>
        <w:rPr>
          <w:b/>
        </w:rPr>
        <w:t>E. 6.2</w:t>
      </w:r>
    </w:p>
    <w:p>
      <w:r>
        <w:t>Aux termes de l'art. 436 al. 2 CPP,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À la lumière de ces principes, il y a lieu de retenir que l'autorité pénale amenée à fixer une indemnité sur le fondement de l'art. 436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6.3</w:t>
      </w:r>
    </w:p>
    <w:p>
      <w:r>
        <w:t>En l’espèce, l’appelant obtient partiellement gain de cause et a donc droit à une indemnisation partielle pour la procédure d’appel, étant rappelé qu’il avait renoncé à toute indemnisation pour la procédure de première instance. La note d’honoraires produite par ses conseils apparaît à cet égard exagérée au vu de la nature de la cause, les faits étant clairement établis et les arguments soulevés partiellement hors sujet voire exagérés. Ainsi, la Cour retient appropriés six heures d’activité de chef d’étude, auxquelles s’ajoutent les trois heures d'audience et les frais, étant précisé que ni le retard de l’appelant aux débats, ni le déplacement de son conseil pour le prononcé public de l’arrêt ne seront indemnisés. En effet, le premier a été occasionné par l’appelant qui n’a pas anticipé l’affluence qu’il avait lui-même occasionnée tout en refusant ensuite d’accéder en priorité à la salle d’audience. Quant au second, l’appelant a souhaité un prononcé public et donc voulu mobiliser tant ses conseils</w:t>
      </w:r>
    </w:p>
    <w:p>
      <w:r>
        <w:t>- 18/21 - P/6405/2017 que la Cour ; en l’absence d’urgence, il eût néanmoins été plus économique d’y renoncer au bénéfice d’une notification postale, comme la Cour le lui a proposé. L’indemnisation accordée sera réduite de moitié pour tenir compte du fait que l’appelant n’obtient que partiellement gain de cause, et s’élèvera donc à CHF 2'261.70 (neuf heures à CHF 450.- plus CHF 150.- de frais et la TVA, divisés par deux). Conformément à l'art. 442 al. 4 CPP, elle sera compensée avec les frais de procédure mis à sa charge (ATF 143 IV 293 consid. 1). * * * * *</w:t>
      </w:r>
    </w:p>
    <w:p>
      <w:r>
        <w:t>- 19/21 - P/6405/2017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