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AARP/307/2016 vom 4. August 2016</w:t>
      </w:r>
    </w:p>
    <w:p>
      <w:r>
        <w:t>GE Cour de justice, 2016-08-04, FR</w:t>
      </w:r>
    </w:p>
    <w:p>
      <w:r>
        <w:rPr>
          <w:b/>
        </w:rPr>
        <w:t xml:space="preserve">Quelle: </w:t>
      </w:r>
      <w:r>
        <w:t>https://mcp.opencaselaw.ch/entscheid/ge_gerichte_AARP_307_2016</w:t>
      </w:r>
    </w:p>
    <w:p>
      <w:r>
        <w:t>FR: GE_GERICHTE AARP/307/2016 du 4 août 2016</w:t>
      </w:r>
    </w:p>
    <w:p>
      <w:r>
        <w:t>IT: GE_GERICHTE AARP/307/2016 del 4 agosto 2016</w:t>
      </w:r>
    </w:p>
    <w:p>
      <w:pPr>
        <w:pStyle w:val="Heading2"/>
      </w:pPr>
      <w:r>
        <w:t>Erwägungen</w:t>
      </w:r>
    </w:p>
    <w:p>
      <w:r>
        <w:rPr>
          <w:b/>
        </w:rPr>
        <w:t>E. 1</w:t>
      </w:r>
    </w:p>
    <w:p>
      <w:r>
        <w:t>L'appel est recevable pour avoir été interjeté et motivé selon la forme et dans les délais prescrits (art. 398 et 399 CPP), comme cela ressort notamment des documents produits par le Ministère public le 11 juillet 2016.</w:t>
      </w:r>
    </w:p>
    <w:p>
      <w:r>
        <w:t>La partie qui attaque seulement certaines parties du jugement est tenue d'indiquer dans la déclaration d'appel, de manière définitive, sur quelles parties porte l'appel, à</w:t>
      </w:r>
    </w:p>
    <w:p>
      <w:r>
        <w:t>- 5/15 - P/15464/2015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115 al. 1 let. a LEtr dispose qu'est passible d'une peine privative de liberté d'un an au plus ou d'une peine pécuniaire quiconque contrevient aux dispositions sur l'entrée en Suisse (art. 5 LEtr).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w:t>
      </w:r>
    </w:p>
    <w:p>
      <w:r>
        <w:t>2.1.2.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2.1.3.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Dans</w:t>
      </w:r>
    </w:p>
    <w:p>
      <w:r>
        <w:t>- 6/15 - P/15464/2015 le cas d'espèce,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Cette argumentation était conforme au droit (arrêt du Tribunal fédéral 1B_162/2015 du 1er juillet 2015 consid. 2.3 ; ACPR/173/2015 du 23 mars 2015 consid. 3.4 in fine, qui différencie deux motifs distincts justifiant la non applicabilité de la Directive sur le retour, dont l'absence de séjour irrégulier).</w:t>
      </w:r>
    </w:p>
    <w:p>
      <w:r>
        <w:t>Dans un autre arrêt non publié, le Tribunal fédéral a considéré que la condamnation du recourant pour son activité lucrative illicite n'était pas critiquable, au motif que la Directive sur le retour ne concernait pas un tel comportement. Elle n'était dès lors pas applicable à cet aspect, pas plus que la jurisprudence de la CJUE y relative, qui concernait uniquement la question du séjour illégal (arrêt du Tribunal fédéral 6B_196/2012 du 24 janvier 2013 consid. 2.2.1 et les références citées ; ACPR/554/2014 du 25 novembre 2014 consid. 2.3.2 et 2.3.3).</w:t>
      </w:r>
    </w:p>
    <w:p>
      <w:r>
        <w:t>2.2.1. La loi sur l'asile du 26 juin 1998 (LAsi – RS 142.31) règle l'octroi de l'asile et le statut des réfugiés en Suisse (art. 1 let. a) et la protection provisoire accordée en Suisse à ceux qui en ont besoin (personnes à protéger) ainsi que leur retour dans leur pays d'origine ou de provenance ou dans un État tiers (art. 1 let. b). La LAsi est une lex specialis par rapport à la LEtr (cf. art. 2 al. 1 LEtr ; AARP/212/2015 du 4 mai 2015 consid. 3.3.1 et les références citées). 2.2.2. Toute manifestation de volonté par laquelle une personne demande à la Suisse de la protéger contre des persécutions est considérée comme une demande d'asile (art. 18 LAsi). La demande d'asile doit être déposée au poste de contrôle d'un aéroport suisse ou, lors de l'entrée en Suisse, à un poste-frontière ouvert ou dans un centre d'enregistrement et de procédure (art. 19 al. 1 LAsi). Les autorités compétentes assignent en règle générale les personnes qui demandent l'asile à la frontière, ou après avoir été interceptées près de la frontière en cas d'entrée illégale, ou encore en Suisse, à un centre d'enregistrement (art. 21 al. 1 LAsi). 2.2.3. L'art. 31 al. 1 de la Convention relative au statut des réfugiés conclue à Genève le 28 juillet 1951 (CR – RS 0.142.30) prévoit que les États contractants n'appliqueront pas de sanctions pénales, du fait de leur entrée ou de leur séjour irréguliers, aux réfugiés qui, arrivant directement du territoire où leur vie ou leur liberté était menacée au sens prévu par l'article premier, entrent ou se trouvent sur leur territoire sans autorisation, sous la réserve qu'ils se présentent sans délai aux autorités et leur exposent des raisons reconnues valables de leur entrée ou présence irrégulières.</w:t>
      </w:r>
    </w:p>
    <w:p>
      <w:r>
        <w:t>- 7/15 - P/15464/2015 Ce principe figurait également à l'art. 23 al. 3 aLSEE, mais n'a pas été repris dans la LEtr. Cette omission est toutefois sans pertinence dans la mesure où le Tribunal fédéral semble considérer l'art. 31 al. 1 CR comme directement applicable (R. PETRY, La situation juridique des migrants sans statut légal, Entre droit international des droits de l'homme et droit suisse des migrations, Zurich 2013, p. 143). 2.2.4. L'étranger en situation irrégulière peut faire l'objet d'une mesure d'éloignement sur la base des art. 64 ss LEtr (cf. également les art. 5 ss de la loi d'application de la loi fédérale sur les étrangers du 16 juin 1988 [LaLEtr – RS-GE F 2 10]). Le renvoi est, le cas échéant, assorti d'une interdiction d'entrée (R. PETRY, op. cit., p. 142).</w:t>
      </w:r>
    </w:p>
    <w:p>
      <w:r>
        <w:rPr>
          <w:b/>
        </w:rPr>
        <w:t>E. 2.3</w:t>
      </w:r>
    </w:p>
    <w:p>
      <w:r>
        <w:t>L'intimé qui n'était au bénéfice d'aucune pièce de légitimation au moment de son entrée en Suisse, affirme être arrivé dans le pays le 13 août 2015, soit le jour-même de son interpellation, ce qui doit être admis, en vertu de la présomption d'innocence. Il n'a pas déposé de demande d'asile et n'a entrepris aucune démarche en ce sens. Tout au plus, ayant été interpellé, a-t-il fait part de sa vague intention d'en déposer une ultérieurement. Aussi, l'appelant n'est pas crédible lorsqu'il affirme avoir "clairement" manifesté sa volonté de protection à cette occasion. Ce n'est que lors de son audition au Ministère public, soit 15 jours plus tard, qu'il a, pour la première fois, indiqué avoir peur de retourner dans son pays, de manière peu convaincante au demeurant. L'intimé ne peut tirer aucun argument de l'art. 31 CR, dont il ne remplit pas les conditions, ne s'étant pas présenté sans tarder aux autorités compétentes avec des raisons valables justifiant son entrée irrégulière. À juste titre, le Ministère public fait valoir que la Directive sur le retour ne s'applique pas à l'entrée illégale, de sorte que l'infraction à l'art. 115 al. 1 let. a LEtr peut-être constatée, ce qui exclut le prononcé d'office d'un acquittement, comme l'intimé le requiert, à titre "subsidiaire". Le verdict de culpabilité doit partant être confirmé, sans préjudice du principe de la subsidiarité du droit pénal par-rapport à une mesure d'éloignement, plaidé par l'intimé. Sur la base des faits qui lui sont reprochés, l'intimé s'expose en effet à une mesure de refoulement de Suisse, le Secrétariat d'État aux migrations (SEM) étant compétent pour prononcer une interdiction d'entrée en Suisse à son encontre. 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- 8/15 - P/15464/2015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Ces principes valent aussi pour le choix entre plusieurs sanctions possibles, et non seulement pour la détermination de la durée de celle qui est prononcée (arrêt 6B_611/2014 du 9 mars 2015 consid. 4.2). 2.4.2.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 arrêt du Tribunal fédéral 6B_1249/2014 du</w:t>
      </w:r>
    </w:p>
    <w:p>
      <w:r>
        <w:rPr>
          <w:b/>
        </w:rPr>
        <w:t>E. 7</w:t>
      </w:r>
    </w:p>
    <w:p>
      <w:r>
        <w:t>septembre 2015 consid. 1.2). Selon l'art. 34 CP, le Tribunal détermine d'abord le nombre des jours-amende en fonction de la culpabilité de l'auteur (al. 1). Il doit ensuite arrêter le montant du jour- amende en fonction de la situation personnelle et économique de l'auteur (al. 2). Le montant du jour-amende ne peut être inférieur à CHF 10.- (ATF 135 IV 180 consid. 1.4.2 p. 185).</w:t>
      </w:r>
    </w:p>
    <w:p>
      <w:r>
        <w:t>- 9/15 - P/15464/2015 2.4.3.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Le sursis est désormais la règle dont on ne peut s'écarter qu'en présence d'un pronostic défavorable (ATF 134 IV 1 consid. 4.2.2 p. 5-6 ; SJ 2008 I p. 277 consid. 2.1. p. 280). 2.4.4.1. Comme déjà retenu, la Directive sur le retour s'applique uniquement à l'infraction de séjour illégal, de sorte qu'elle n'est pas pertinente dans le cas d'espèce. Dans ces conditions, l'entrée illégale aurait pu et dû être sanctionnée. 2.4.4.2. La faute de l'intimé est de peu d'importance. Sa collaboration à la procédure a été moyenne, dans la mesure où il a commencé par admettre les faits, puis a tenté de nier leur caractère pénalement répréhensible. Compte tenu de ce qui précède, ainsi que de l'absence d'antécédents et de la situation personnelle de l'intimé, en particulier de sa précarité, il se justifie de le condamner à une peine pécuniaire dont la quotité sera fixée à 10 jours-amende. La situation financière de l'intéressé étant inconnue mais assurément précaire, le jour-amende sera arrêté au minimum jurisprudentiel de CHF 10.-. Aucun élément ne permettant de conclure à un pronostic défavorable, le sursis sera octroyé. Un délai d'épreuve de trois ans paraissant de nature à le dissuader de récidiver (art. 44 al. 1 CP). Le jugement sera partant modifié sur ces points. 3. 3.1.1. L'ordonnance pénale contient notamment la mention des objets séquestrés à restituer ou à confisquer (art. 353 al. 1 let. h CPP). Le prévenu peut former opposition devant le Ministère public par écrit dans les dix jours (art. 354 al. 1 CPP), sans obligation de motivation (art. 354 al. 2 CPP). En cas d'opposition, le Ministère public administre les autres preuves nécessaires au jugement de l'opposition (art. 355 al. 1 CPP). Selon l'art. 355 al. 3 CPP, après l'administration des preuves, le Ministère</w:t>
      </w:r>
    </w:p>
    <w:p>
      <w:r>
        <w:t>- 10/15 - P/15464/2015 public peut notamment décider de maintenir l'ordonnance pénale (let. a) ou de rendre une nouvelle ordonnance pénale (let. c). 3.1.2. Les ordonnances de séquestre sont prononcées par voie d'ordonnance écrite et sont brièvement motivées, sauf en cas d'urgence (art. 263 al. 2 CPP). Il suffit que l'autorité mentionne au moins brièvement les motifs qui l'ont guidée, sans qu'elle ne soit tenue de discuter de manière détaillée tous les arguments soulevés par les parties, les exigences de motivation en matière de séquestre étant moindres que celles prévalant pour un jugement au fond (L. MOREILLON, A. PAREIN-REYMOND, CPP Petit commentaire, 2ème éd., Bâle 2016, n. 22a ad art. 263).</w:t>
      </w:r>
    </w:p>
    <w:p>
      <w:r>
        <w:t>Les prononcés de séquestre prennent la forme d'une ordonnance lorsqu'ils sont rendus par une personne seule ou d'une décision lorsqu'ils sont rendus par une autorité collégiale (art. 80 al. 1 CPP), les autorités compétentes étant le Ministère public et les autorités de jugement (art. 198 al. 1 let. a et b CPP). Lorsqu'il y a péril en la demeure, la police peut provisoirement mettre en sûreté des valeurs patrimoniales à l'intention du Ministère public ou du Tribunal (art. 263 al. 3 CPP). Le séquestre ne doit pas nécessairement faire l'objet d'un mandat séparé (L. MOREILLON, A. PAREIN-REYMOND, op. cit., n. 23 ad art. 263). 3.1.3. Le séquestre étant une mesure provisoire, la loi prévoit que si le motif disparaît, le Ministère public ou le Tribunal lève la mesure et restitue les valeurs patrimoniales à l'ayant droit (art. 267 al. 1 CPP). La restitution à l'ayant droit des valeurs patrimoniales séquestrées qui n'ont pas été libérés auparavant, leur utilisation pour couvrir les frais ou leur confiscation sont statuées dans la décision finale (art. 267 al. 3 CPP), au plus tard (L. MOREILLON, A. PAREIN-REYMOND, op. cit., n. 14 s. ad art. 267). 3.1.4. L'autorité pénale peut mettre sous séquestre des objets et des valeurs patrimoniales appartenant au prévenu, notamment lorsqu'il est probable qu'ils seront utilisés pour garantir le paiement des frais de procédure ou des peines pécuniaires (art. 263 al. 1 let. b CPP). Selon l'art. 268 al. 1 CPP, le patrimoine d'un prévenu peut être séquestré dans la mesure qui paraît nécessaire pour couvrir les frais de procédure et les indemnités à verser (let. a) ou les peines pécuniaires (let. b). Selon la systématique du CPP, seul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 RS 281.1 – art. 268 al. 3 CPP). Un tel examen s'impose car cette mesure tend exclusivement à la sauvegarde des intérêts publics (ATF 119 Ia 453 consid. 4d p. 458 ; arrêt 1B_274/2012 du 11 juillet</w:t>
      </w:r>
    </w:p>
    <w:p>
      <w:r>
        <w:t>- 11/15 - P/15464/2015 2012 consid. 3). Elle peut s'étendre à l'ensemble des biens du prévenu, y compris ceux qui sont sans relation avec l'infraction commise et qui sont d'origine licite (arrêts du Tribunal fédéral 1B_ 136/2014 du 14 mai 2014 consid. 2.1 ; 1B_274/2012 du 11 juillet 2012 consid. 3.1 ; G. PIQUEREZ / A. MACALUSO, Procédure pénale suisse : Manuel, 3ème éd., Zurich 2011, n. 1357, 1407). Le principe de proportionnalité doit être respecté, lorsqu'il s'agit de décider de l'opportunité du séquestre en couverture de frais (art. 197 al. 1 let. c et d CPP). L'autorité pénale doit disposer d'indices lui permettant de douter du futur recouvrement des frais auxquels le prévenu sera condamné. Le principe de proportionnalité entre aussi en ligne de compte lorsqu'il s'agit de déterminer la valeur des biens à mettre sous séquestre ; sous cet angle, le respect de ce principe se limite pour l'essentiel à la garantie du minimum vital de la personne touchée par ce type de séquestre (arrêts du Tribunal fédéral 6B_688/2015 du 19 mai 2016 consid. 4.2 et les références ; 1B_175/2015 du 10 août 2015 consid. 3.1 ; 1B_136/2014 du 14 mai 2014 consid. 2.1 ; 1P.21/2007 du 2 mai 2007 consid. 4).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(ATF 141 IV 360 consid. 3.1 et les références ; ATF 139 I 272 consid. 3.2 p. 276). 3.2. En l'espèce, les sommes de CHF 223.80 et EUR 50.60 ont valablement été saisies par la police le 13 août 2015 lors de l'interpellation de l'intimé (art. 263 al. 3 CPP). Aucun élément du dossier ne permet de retenir que ces sommes seraient le résultat d'une infraction ou destinées à en récompenser un auteur (art. 70 al. 1 CP). Dans l'ordonnance pénale du 14 août 2015, le Ministère public a prononcé un séquestre, en vue de garantir le paiement des frais de la procédure, alors même qu'il statuait, simultanément, au fond, sur les frais à la charge du prévenu. Contrairement à ce qu'a retenu le premier juge, cette manière de faire n'est pas critiquable, dans la mesure où l'ordonnance a été rendue le lendemain de l'arrestation. Le Tribunal de police ne pouvait dès lors pas faire l'économie de l'examen du revenu et de la fortune du prévenu et de sa famille (art. 268 al. 2 CPP). Dans la mesure où la précarité de l'intimé est manifeste, les sommes saisies peuvent difficilement être affectées au paiement des frais de la procédure sans entamer son minimum vital, si bien que leur restitution s'impose. Le dispositif du jugement sera confirmé à cet égard.</w:t>
      </w:r>
    </w:p>
    <w:p>
      <w:r>
        <w:t>- 12/15 - P/15464/2015 4. L'intimé, qui succombe partiellement, sera condamné à la moitié des frais de la procédure d'appel, le solde en étant laissé à la charge de l'État (art. 428 al. 1 CPP). 5. En regard du verdict de culpabilité, les prétentions en indemnisation de l'intimé seront rejetés (art. 429 al. 1 let. a CPP a contrario). * * * * *</w:t>
      </w:r>
    </w:p>
    <w:p>
      <w:r>
        <w:t>- 13/15 - P/15464/2015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