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AARP/306/2018 vom 2. Oktober 2018</w:t>
      </w:r>
    </w:p>
    <w:p>
      <w:r>
        <w:t>GE Cour de justice, 2018-10-02, FR</w:t>
      </w:r>
    </w:p>
    <w:p>
      <w:r>
        <w:rPr>
          <w:b/>
        </w:rPr>
        <w:t xml:space="preserve">Quelle: </w:t>
      </w:r>
      <w:r>
        <w:t>https://mcp.opencaselaw.ch/entscheid/ge_gerichte_AARP_306_2018</w:t>
      </w:r>
    </w:p>
    <w:p>
      <w:r>
        <w:t>FR: GE_GERICHTE AARP/306/2018 du 2 octobre 2018</w:t>
      </w:r>
    </w:p>
    <w:p>
      <w:r>
        <w:t>IT: GE_GERICHTE AARP/306/2018 del 2 ottobre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- 11/25 - P/17448/2017</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w:t>
      </w:r>
    </w:p>
    <w:p>
      <w:r>
        <w:rPr>
          <w:b/>
        </w:rPr>
        <w:t>E. 3</w:t>
      </w:r>
    </w:p>
    <w:p>
      <w:r>
        <w:t>3.1.1.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3.1.2. Un étranger peut être admis en vue de l'exercice d'une activité lucrative salariée notamment si son admission sert les intérêts économiques du pays et si son employeur a déposé une demande (art. 18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w:t>
      </w:r>
    </w:p>
    <w:p>
      <w:r>
        <w:t>- 12/25 - P/17448/2017 3.1.3. A teneur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D'après la jurisprudence, le terme "employer" doit être compris de manière large, comme consistant à proposer une rémunération à une personne contre ses services, indépendamment de l'existence formelle d'un contrat de travail au sens des art. 319 ss de la loi fédérale du 30 mars 1911, complétant le Code civil suisse (CO, Code des obligations ; RS 220), et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p. 156 ; 128 IV 170 consid. 4 p. 174 ss ; arrêt du Tribunal fédéral 6B_176/2007 consid. 3.2). Selon l'art. 91 al. 1 LEtr,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(arrêts du Tribunal fédéral 2C_783/2012 du 10 octobre 2012 consid. 2.1 et 2C_357/2009 du 16 novembre 2009 consid. 5.3). 3.1.4. Agit intentionnellement quiconque commet un crime ou un délit avec conscience et volonté (art. 12 al. 2 CP).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w:t>
      </w:r>
    </w:p>
    <w:p>
      <w:r>
        <w:t>- 13/25 - P/17448/2017 3.1.5. Au sens de l'art. 718 al. 1 et 4 de la loi fédérale du 30 mars 1911, complétant le Code civil suisse (CO, Code des obligations - RS 220), le conseil d'administration de la société anonyme représente la société à l'égard des tiers. Sauf disposition contraire des statuts ou du règlement d'organisation, chaque membre du conseil d'administration a le pouvoir de représenter la société. La société doit pouvoir être représentée par une personne domiciliée en Suisse. Cette personne doit être un membre du conseil d'administration ou un directeur. 3.1.6. Sont tenus personnellement responsables à raison de manquements, d'après le droit de la responsabilité dans la société anonyme, les membres du conseil d'administration et toutes les personnes qui s'occupent de la gestion ou de la liquidation (art. 754 al. 1 CO). 3.1.7. Les personnes chargées de l'administration ou de la gestion au sens de la disposition précitée ne sont pas seulement les organes habilités à prendre des décisions et expressément nommés en cette qualité, mais également les personnes qui prennent en fait des décisions réservées aux organes ou pourvoient effectivement à la gestion et contribuent ainsi de manière déterminante à la formation de la volonté sociale (ATF 128 III 29 consid. 3a ; 124 III 418 consid. 1b 1 ; 122 III 225 consid. 4b; 117 II 432 consid. 2b 2; 107 II 349 consid. 5a et références citées). Les personnes qui, de par leur position, peuvent prendre part à des fonctions dirigeantes et agissent de manière effective dans certains domaines répondent aussi d'omissions contraires à leurs devoirs lorsqu'une action eût été nécessaire dans le cadre du champ d'activités qui leur est attribué (arrêt du Tribunal fédéral 4C.214/2001 du 29 octobre 2001 consid. 3, in SJ 2002 I p. 347).</w:t>
      </w:r>
    </w:p>
    <w:p>
      <w:r>
        <w:rPr>
          <w:b/>
        </w:rPr>
        <w:t>E. 3.2</w:t>
      </w:r>
    </w:p>
    <w:p>
      <w:r>
        <w:t>En l'espèce, l'épouse de l'appelant est administratrice avec signature individuelle des sociétés B______ SA et E______ SA, la ou lesquelles exploitaient trois restaurants du nom de la seconde à Genève. L'appelant a cependant expliqué qu'il était le directeur de ces restaurants et que son épouse ne se chargeait que de l'aspect culinaire. Son rôle était celui d'un organe de fait ou "directeur de fait" d'après ses propres termes, en charge de la gestion administrative et, en particulier, de l'engagement de personnel. A teneur des déclarations de ses employés, l'appelant était "le patron", soit celui qui notamment prélevait les cotisations sociales de leurs salaires. Pour toutes ces raisons, il doit être tenu pour établi que l'appelant tenait en main la conduite administrative de ces deux sociétés, exerçant un véritable pouvoir décisionnel. La responsabilité de l'appelant, en tant qu'organe de fait, est donc entière. Il a reconnu avoir engagé l'employé C______, ressortissant chinois, ayant œuvré en qualité de cuisinier du 2 novembre 2010 au 8 août 2017 et qui a été interpellé à son poste suite au passage de la PCTN à cette dernière date, étant rappelé que la période pénale le concernant débute au 10 avril 2011 comme retenu par le premier juge. L'appelant le savait sans permis de séjour ni autorisation de travail et n'a entrepris</w:t>
      </w:r>
    </w:p>
    <w:p>
      <w:r>
        <w:t>- 14/25 - P/17448/2017 aucune démarche pour légaliser son statut administratif, ce qu'il reconnaît. La prétendue pénurie de cuisiniers chinois sur le marché ne l'en exemptait pas. C'est à tort qu'il cherche à contester sa culpabilité pour l'employée D______, d'origine équatorienne. Que celle-ci ait prétendu être espagnole ne le déchargeait à nouveau pas de son obligation de contrôler son statut avant la prise d'un poste, étant au demeurant relevé que même si elle était au bénéfice d'une carte de résidente espagnole des démarches devaient être entreprises auprès de l'OCPM en vue de l'obtention d'une autorisation de travail. L'appelant reconnaît s'en être abstenu et ne saurait reporter la responsabilité de ses agissements sur cette employée, eût-elle tardé à lui fournir les documents qu'il lui aurait demandé. Aguerri de longue date à ces "tracasseries administratives" comme il les nomme, il savait pertinemment dans quel ordre cela devait se passer. Pour l'employé F______, de nationalité brésilienne, l'appelant prétend qu'il était malade et que sa directrice adjointe devait se charger des démarches nécessaires. Il échoue dans sa tentative à faire endosser la responsabilité de ses propres carences et agissements sur cette personne, étant relevé que cet employé a travaillé pas moins de 11 mois au service de l'enseigne E______ et que l'appelant a nullement étayé, par exemple par certificat médical, le fait qu'il aurait empêché de déployer toute activité administrative, qui plus est sur cette longue période. Ainsi, la CPAR considère qu'il est établi que l'appelant avait pleinement connaissance et conscience du statut illégal de ces trois employés. Il a agi alors qu'il avait préalablement été condamné à trois reprises pour faits spécifiques au moment de la prise d'emploi de l'employé F______ et à cinq reprises pour les deux autres travailleurs, si ce n'est au moment de les engager (cas C______), à tout le moins en cours de contrat. C'est à tort qu'il cherche en dernier recours à s'appuyer sur le plan "Papyrus". Il ne démontre en effet nullement que les employés concernés par la présente procédure auraient entrepris les démarches nécessaires en vue de régularisation de leur statut dans ce cadre, et encore moins qu'elles l'auraient fait pendant la période pénale. Force est donc de retenir qu'il s'est rendu coupable d'infraction à l'art. 117 al. 1 et al. 2 LEtr. Le jugement de première instance sera dès lors confirmé et l'appel rejeté.</w:t>
      </w:r>
    </w:p>
    <w:p>
      <w:r>
        <w:rPr>
          <w:b/>
        </w:rPr>
        <w:t>E. 3.3</w:t>
      </w:r>
    </w:p>
    <w:p>
      <w:r>
        <w:t>A teneur de l'art. 95 al. 1 let. a LCR, est puni d'une peine privative de liberté de trois ans au plus ou d'une peine pécuniaire quiconque conduit un véhicule automobile sans être titulaire du permis de conduire requis. Fondé sur l'art. 10 al. 2 LCR qui réglemente le régime obligatoire du permis de conduire, l'art. 95 al. 1 lit. a LCR incrimine le conducteur d'un véhicule automobile qui conduit sans être au bénéfice de l'autorisation nécessaire délivrée par l'autorité</w:t>
      </w:r>
    </w:p>
    <w:p>
      <w:r>
        <w:t>- 15/25 - P/17448/2017 compétente (ATF 98 IV 55 consid. 2 p. 58ss, JdT 1972 I 484 n. 90 ; A. BUSSY / B. RUSCONI / Y. JEANNERET / A. KUHN / C. MIZEL / C. MULLER, Code suisse de la circulation routière commenté, Bâle, 2015, 4ème édition, n. 1.1 ad art. 95, p. 946). Les raisons pour lesquelles l'auteur n'est pas titulaire d'un permis n'importent pas. La loi sanctionne de manière identique, au titre d'un délit (art. 10 al. 3 CP), passible d'une peine privative de liberté de 3 ans au plus ou d'une peine pécuniaire, la conduite sans permis (A. BUSSY / B. RUSCONI / Y. JEANNERET / A. KUHN / C. MIZEL / C. MULLER, op.cit., n. 1.2 ad art. 95, p. 946).</w:t>
      </w:r>
    </w:p>
    <w:p>
      <w:r>
        <w:rPr>
          <w:b/>
        </w:rPr>
        <w:t>E. 3.4</w:t>
      </w:r>
    </w:p>
    <w:p>
      <w:r>
        <w:t>L'appelant conteste une conduite les 12 juin et 19 juillet 2016 d'un véhicule automobile sans permis, dans la mesure où il fait l'objet d'une interdiction de conduire depuis juillet 2012. A ces deux dates, une personne au volant fait une photo depuis le siège conducteur du véhicule, et la poste sur le compte L______ de l'appelant accompagnée de commentaires liés à la perturbation du trafic en raison d'un accident. Les dénégations de l'appelant ne convainquent pas. Il n'a à aucun moment donné l'identité d'un tiers qui se serait trouvé au volant. S'il avait réellement été passager du véhicule, la photo aurait été prise depuis le siège destiné audit passager. Rien ne justifiait ainsi que le conducteur, en présence d'une autre personne dans l'habitacle, prenne cette photo et la poste sur le compte de l'appelant. Enfin, la teneur des commentaires moqueurs accompagnant ces photos sont du même acabit que ceux que l'appelant a servis aux autorités dans le cadre de la présente procédure. Ces éléments fondent un faisceau d'indices devant conduire à la confirmation du verdict de culpabilité du chef d'infractions à l'art. 95 al. 1 let. a LCR, étant au demeurant relevé qu'un tel faisceau existait aussi pour les occurrences des 5 mai et 23 décembre 2016, sur lesquelles il n'est toutefois pas possible de revenir en application du principe de l'interdiction de la reformatio in pejus (art. 391 al. 2 CPP).</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- 16/25 - P/17448/2017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t>4.1.2.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4.1.3.1.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w:t>
      </w:r>
    </w:p>
    <w:p>
      <w:r>
        <w:t>- 17/25 - P/17448/2017 ; AJP 2017 p. 408 ; AARP/49/2017 du 10 février 2017 consid. 3.2.1 à 3.2.3 ; ATF 142 IV 265 consid. 2.3.3 p. 268 = JdT 2017 IV 129 ; ATF 141 IV 61 consid. 6.1.2 p. 67 ; ATF 138 IV 113 consid. 3.4.1 p. 115 et les références ; arrêt du Tribunal fédéral 6B_952/2016,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4.1.4. Les nouvelles dispositions sur le droit des sanctions sont entrées en vigueur le 1er janvier 2018. Cette réforme marque globalement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L'ancien droit est donc applicable. 4.1.5.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4.1.6.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- 18/25 - P/17448/2017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4.2</w:t>
      </w:r>
    </w:p>
    <w:p>
      <w:r>
        <w:t>L'appelant n'a émis aucune critique spécifique, ne saurait-ce qu'à titre subsidiaire, à l'égard de la peine qui lui a été infligée. Le choix de la peine pécuniaire lui est acquis. Comme retenu à juste titre par le premier juge, la faute du prévenu n'est pas négligeable. Elle est même importante. La période pénale est longue, puisque s'agissant d'emploi d'étrangers sans autorisation, elle s'étend sur plus de six ans pour l'un des employés, une année pour la seconde et 11 mois pour le troisième. Il a agi par pure convenance personnelle et provocation au mépris de la législation en vigueur en Suisse et avait toute liberté d'agir autrement, à savoir de porter son choix sur des personnes éligibles à l'autorisation de travail, le domaine d'activité n'étant pas spécifique au point de le contraindre à agir comme il l'a fait. Il a conduit un véhicule sans permis pour son seul agrément, voire là encore par provocation. Sa collaboration est mauvaise. Il n'a reconnu les faits que pour un des trois employés concernés et nie encore les deux infractions à la loi sur la LCR malgré les photographies et commentaires publiés sur sa page L______, position dans laquelle il persiste en appel. Sa prise de conscience est ainsi nulle. Il y a concours d'infractions, facteur d'aggravation de la peine (art. 49 al. 1 CP). Le prévenu a neuf antécédents spécifiques. Il se moque ouvertement des autorités administratives et judiciaires. Au vu de ses antécédents, le sursis ne saurait lui être accordé. Il se justifie de révoquer ceux octroyés le 2 avril 2009 et le 14 mars 2012 relatifs à des infractions de même nature, lesquels ne l'ont pas été nonobstant les multiples récidives, étant relevé que les agissements pour lesquels l'appelant est condamné</w:t>
      </w:r>
    </w:p>
    <w:p>
      <w:r>
        <w:t>- 19/25 - P/17448/2017 dans la présente procédure sont partiellement intervenus durant les délais d'épreuve de trois ans et quatre ans et demi. La renonciation à révoquer le sursis octroyé le 8 mai 2013 est acquise à l'appelant. Une partie des faits ayant été commis antérieurement aux condamnations prononcées le 14 mars 2012 par le Ministère public du canton de H______ ainsi que les 21 juin 2012, 25 avril 2013, 8 mai 2013, 6 février 2014, 6 août 2014, 25 février 2016 et 26 juillet 2016 par le Ministère public du canton de Genève, la présente peine, d'ensemble, leur sera partiellement complémentaire. Tel ne sera en revanche pas le cas en relation avec la condamnation du 6 août 2018 à une peine d'un genre différent. Fixée par le premier juge à 105 jours amende à CHF 30.- l'unité, elle s'avère adéquate à la faute commise - même clémente, dans la mesure où 10 condamnations à des peines pécuniaires, demeurées sans effet, auraient dû conduire au prononcé d'une peine privative de liberté -, et à la situation personnelle, dont financière, de l'appelant de sorte qu'elle sera confirmée.</w:t>
      </w:r>
    </w:p>
    <w:p>
      <w:r>
        <w:rPr>
          <w:b/>
        </w:rPr>
        <w:t>E. 5</w:t>
      </w:r>
    </w:p>
    <w:p>
      <w:r>
        <w:t>5.1.1.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5.1.2.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5.1.3. Si le prévenu est acquitté totalement ou en partie, il a droit à une indemnité pour les dépenses occasionnées par l’exercice raisonnable de ses droits de procédure (art. 429 al. 1 let. a CPP).</w:t>
      </w:r>
    </w:p>
    <w:p>
      <w:r>
        <w:t>- 20/25 - P/17448/2017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in Jusletter du 13 février 2012, p. 3, n. 11 ; cf. aussi A. KUHN / Y. JEANNERET [éds], Commentaire romand : Code de procédure pénale suisse, Bâle 2011, n. 13 ss ad art. 429 CPP, qui appliquent par analogie la théorie des concours d'infractions). 5.1.4.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retient un taux horaire de CHF 350.- pour les collaborateurs et de CHF 150.- pour les avocats stagiaires (ACPR/89/2017 du 23 février 2017 ; AARP/65/2017 du 23 février 2017 ; ACPR/178/2015 du 23 mars 2015 ; AARP/125/2012 du 30 avril 2012 ; ACPR/187/2017 du 22 mars 2017 consid 3.2). Les démarches superflues, abusives ou excessives ne sont toutefois pas indemnisées (ATF 115 IV 156 consid. 2d).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w:t>
      </w:r>
    </w:p>
    <w:p>
      <w:r>
        <w:t>- 21/25 - P/17448/2017 43). Dès lors,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L'indemnité fondée sur l'art. 429 al. 1 let. a CPP pour les dépenses obligatoires occasionnées par la procédure ne produit pas d'intérêts (ATF 143 IV 495 consid. 2.2.4 ; arrêt du Tribunal fédéral 6B_1008/2017 du 5 avril 2018 consid. 2.3 in fine). 5.1.5.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s. ; arrêt du Tribunal fédéral 6B_1360/2016 du 10 novembre 2017 consid. 3.2). 5.2.1. Le premier juge a, nonobstant l'acquittement partiel de l'appelant, mis l'intégralité des frais de la procédure à sa charge. Si l'on doit effectivement retenir que le comportement de l'appelant était contraire à l'ordre juridique suisse s'agissant de l'infraction à l'art. 117 LEtr, retenue pour le surplus, concernant l'employé C______, durant six ans et classée uniquement pour une période antérieure de cinq mois en raison de la seule prescription, tel n'est pas le cas des infractions aux art. 116 LEtr et 95 al. 1 LCR pour lesquelles il a bénéficié d'un acquittement en application du principe de la présomption d'innocence. Ce principe serait partant violé si l'on mettait à sa charge les frais de la procédure y afférents. Ainsi, il sera condamné aux 4/5èmes des frais de la procédure de première instance, le solde restant à charge de l'Etat. 5.2.2. Dans la mesure où il succombe intégralement en appel, l'émolument complémentaire de jugement restera à sa charge, de même que les frais de seconde instance comprenant un émolument de CHF 2'000.- (art. 428 CPP et art. 14 al. 1 lit. e du règlement fixant le tarif des frais en matière pénale du 22 décembre 2010 [RTFMP – RS/GE E 4 10.03]).). 5.3.1. Le principe de la couverture d'une partie des dépenses de première instance de l'appelant pour ses frais de défense est acquis à concurrence d'un cinquième, soit dans la mesure inverse de sa condamnation aux frais. Le quantum de ses prétentions à ce titre demeure dans l'ordre du raisonnable et le tarif appliqué conforme à la jurisprudence et à la pratique genevoise.</w:t>
      </w:r>
    </w:p>
    <w:p>
      <w:r>
        <w:t>- 22/25 - P/17448/2017 Les frais de défense se chiffrent ainsi à CHF 3'222.20, correspondant à 6h45 d'activité de collaboratrice à un tarif horaire de CHF 425.- (CHF 2'868.75), un forfait de 4% pour frais divers (CHF 114.75), et la TVA au taux de 8%, soit CHF 238.70. Une indemnité d'un cinquième de ces frais, soit de CHF 644.45, TVA comprise, lui sera octroyée. 5.3.2. Succombant intégralement en appel, sa culpabilité et sa peine étant confirmées, l'appelant ne saurait prétendre à une indemnité fondée sur l'art. 429 CPP pour le surplus.</w:t>
      </w:r>
    </w:p>
    <w:p>
      <w:r>
        <w:rPr>
          <w:b/>
        </w:rPr>
        <w:t>E. 6.1</w:t>
      </w:r>
    </w:p>
    <w:p>
      <w:r>
        <w:t>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w:t>
      </w:r>
    </w:p>
    <w:p>
      <w:r>
        <w:rPr>
          <w:b/>
        </w:rPr>
        <w:t>E. 6.2</w:t>
      </w:r>
    </w:p>
    <w:p>
      <w:r>
        <w:t>La créance par CHF 644.45 de l'appelant envers l'Etat sera compensée avec celle portant sur les frais de procédure de première instance et d'appel. * * * * *</w:t>
      </w:r>
    </w:p>
    <w:p>
      <w:r>
        <w:t>- 23/25 - P/17448/2017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