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AARP/306/2017 vom 21. September 2017</w:t>
      </w:r>
    </w:p>
    <w:p>
      <w:r>
        <w:t>GE Cour de justice, 2017-09-21, FR</w:t>
      </w:r>
    </w:p>
    <w:p>
      <w:r>
        <w:rPr>
          <w:b/>
        </w:rPr>
        <w:t xml:space="preserve">Quelle: </w:t>
      </w:r>
      <w:r>
        <w:t>https://mcp.opencaselaw.ch/entscheid/ge_gerichte_AARP_306_2017</w:t>
      </w:r>
    </w:p>
    <w:p>
      <w:r>
        <w:t>FR: GE_GERICHTE AARP/306/2017 du 21 septembre 2017</w:t>
      </w:r>
    </w:p>
    <w:p>
      <w:r>
        <w:t>IT: GE_GERICHTE AARP/306/2017 del 21 settembre 2017</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- 10/16 - P/6087/2015</w:t>
      </w:r>
    </w:p>
    <w:p>
      <w:r>
        <w:rPr>
          <w:b/>
        </w:rPr>
        <w:t>E. 1.2</w:t>
      </w:r>
    </w:p>
    <w:p>
      <w:r>
        <w:t>C'est à juste titre que l'appelant ne conteste plus en appel sa culpabilité pour infractions à l'art. 19 al. 1 LStup s'agissant des faits du 25 mars 2015 et du 4 février 2017 et à l'art. 115 al. 1 let. a et b LEtr, laquelle repose sur les éléments de la procédure, dont les circonstances de ses interpellations et ses explications, qui ont varié au fil de la procédure et s'avèrent dénuées de toute crédibilité.</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En matière de trafic de stupéfiants, il y a lieu de tenir compte, plus spécialement, des circonstances suivantes (arrêt du Tribunal fédéral 6B_843/2014 du</w:t>
      </w:r>
    </w:p>
    <w:p>
      <w:r>
        <w:rPr>
          <w:b/>
        </w:rPr>
        <w:t>E. 2.2</w:t>
      </w:r>
    </w:p>
    <w:p>
      <w:r>
        <w:t>En l'espèce, la faute de l'appelant n’est pas négligeable. Outre s'être livré à un trafic de stupéfiants portant notamment sur près de 75 g de cocaïne, il s'est évertué à venir et à demeurer en Suisse en toute illégalité sur une période de plus de 11 mois entre le 9 mars 2014 et le 25 mars 2015, puis de plus de 13 mois s'agissant des entrées illégales entre le 17 octobre 2015 et le 4 février 2017 ce, malgré trois précédentes condamnations pour entrée et/ou séjour illégal et une condamnation pour délit à la LStup. Ses mobiles sont égoïstes, relevant de l’appât du gain s’agissant du trafic de stupéfiants et de la désinvolture face aux règles en vigueur. Même si la précarité de la situation personnelle de l'appelant explique, en partie, ses agissements, elle ne saurait les justifier, étant relevé que son absence totale de liens avec la Suisse rend encore moins compréhensible son insistance à rester dans ce pays d'autant plus qu'il dispose d'un titre de séjour en Italie, où il aurait pu suivre un traitement contre la tuberculose. L'appelant n'a eu de cesse de remettre constamment en cause, au fil de ses auditions, ses déclarations antérieures où il reconnaissait les faits et à rejeter la responsabilité de ses versions variables sur un problème de traduction, alors même qu'interpellé dans des circonstances accablantes. En appel, il ne conteste par son conseil plus que la peine. Il n'en demeure pas moins que sa collaboration a été mauvaise jusque-là et démontre l'absence de toute prise de conscience du caractère illicite de ses actes ou au mieux qu'une ébauche toute récente, davantage commandée par une tactique procédurale face aux éléments accablants de la procédure. Il y a concours d'infractions entre les art. 19 al. 1 LStup, 115 al. 1 let.a et 115 al. 1 let. b LEtr, ce qui commande une augmentation de la peine dans une juste proportion. Aucune des circonstances atténuantes prévues par l'art. 48 CP n'est réalisée, ni d’ailleurs plaidée.</w:t>
      </w:r>
    </w:p>
    <w:p>
      <w:r>
        <w:t>- 13/16 - P/6087/2015 Les peines pécuniaires infligées en 2013, 2014 et 2015 n’ont eu aucun effet dissuasif. Ces multiples récidives de l’appelant montrent que ce celui-ci ne fait aucun cas des décisions des autorités. Vu ses antécédents spécifiques, tant en matière de délits à la LStup qu'à la LEtr, le pronostic se présente sous un jour fort défavorable, ce qui exclut le prononcé du sursis. Pour des motifs de prévention spéciale, seule une peine privative de liberté entre en ligne de compte. La quotité arrêtée à 11 mois en première instance s'avère adéquate et conforme aux éléments de la procédure de sorte qu'elle sera confirmée. Dans la mesure où l'entrée illégale de l'appelant en Suisse sanctionnée le 16 octobre 2015 l'a été par des jours-amende, la question de la complémentarité de la peine présentement prononcée ne se pose pas (peines de genres différents). La renonciation à révoquer les sursis dont a bénéficié l'appelant en lien avec les trois condamnations inscrites à son casier judiciaire est acquise à l'appelant (art. 391 al. 2 CPP). 3. 3.1.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3.2. L'appelant ne conteste plus son expulsion. Il est condamné, s'agissant des infractions commises après le 1er octobre 2016, pour ses diverses entrées illégales en Suisse jusqu'au 4 février 2017 et son interpellation à cette dernière date en possession notamment de 70 g de cocaïne conditionnés pour la revente. Comme déjà relevé, il a des antécédents spécifiques tant en matière de trafic de stupéfiants que de délits à la LEtr. Il n'a aucune attache en Suisse où il fait l'objet d'une décision de renvoi et ne parle aucune des langues nationales. Il dispose d'un titre de séjour italien et se dit prêt à retourner dans ce pays pour le cas où son expulsion serait prononcée. La continuation de son séjour en Suisse s'avère incompatible avec la sécurité publique, en particulier la santé des consommateurs de drogues dures telle la cocaïne, l'appelant étant dépourvu de tout autre moyen de subsistance que le revenu découlant de ses ventes de drogue. La pesée des intérêts en présence amène à conclure que c'est à juste titre que le premier juge a prononcé l'expulsion de l'appelant pour une durée de quatre ans. 4. Les motifs ayant conduit le premier juge à prononcer, par ordonnance séparée du</w:t>
      </w:r>
    </w:p>
    <w:p>
      <w:r>
        <w:rPr>
          <w:b/>
        </w:rPr>
        <w:t>E. 7</w:t>
      </w:r>
    </w:p>
    <w:p>
      <w:r>
        <w:t>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w:t>
      </w:r>
    </w:p>
    <w:p>
      <w:r>
        <w:t>- 11/16 - P/6087/2015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w:t>
      </w:r>
    </w:p>
    <w:p>
      <w:r>
        <w:t>- 12/16 - P/6087/2015 2.1.5.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w:t>
      </w:r>
    </w:p>
    <w:p>
      <w:r>
        <w:rPr>
          <w:b/>
        </w:rPr>
        <w:t>E. 12</w:t>
      </w:r>
    </w:p>
    <w:p>
      <w:r>
        <w:t>mai 2017, le maintien de l'appelant en détention pour des motifs de sûreté sont toujours d'actualité, de sorte que la mesure sera reconduite mutatis mutandis (ATF 139 IV 277 consid. 2.2 à 2.3).</w:t>
      </w:r>
    </w:p>
    <w:p>
      <w:r>
        <w:t>- 14/16 - P/6087/2015 5. L'appelant, qui succombe, supportera les frais de la procédure envers l'Etat, comprenant un émolument de CHF 1'700.- (art. 428 CPP). 6. 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6.2.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et de CHF 65.- pour l'avocat stagiaire (let. a).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6.3. En l'occurrence, l'indemnisation requise par le défenseur d'office de l'appelant paraît adéquate, de sorte qu'il n'est pas nécessaire de reprendre le détail du poste qui compose son état de frais. Aussi, l'indemnité requise, à raison de 3h50 au tarif de CHF 200.-/heure (CHF 766.70), et 1h à celui de CHF 65.-/heure, sera allouée, à laquelle s'ajoute la majoration forfaitaire de 20 % (CHF 166.30) et l'équivalent de la TVA au taux de 8 % (CHF 79.85), pour un total de CHF 1'077.85. * * * * *</w:t>
      </w:r>
    </w:p>
    <w:p>
      <w:r>
        <w:t>- 15/16 - P/6087/2015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