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AARP/305/2021 vom 22. September 2021</w:t>
      </w:r>
    </w:p>
    <w:p>
      <w:r>
        <w:t>GE Cour de justice, 2021-09-22, FR</w:t>
      </w:r>
    </w:p>
    <w:p>
      <w:r>
        <w:rPr>
          <w:b/>
        </w:rPr>
        <w:t xml:space="preserve">Quelle: </w:t>
      </w:r>
      <w:r>
        <w:t>https://mcp.opencaselaw.ch/entscheid/ge_gerichte_AARP_305_2021</w:t>
      </w:r>
    </w:p>
    <w:p>
      <w:r>
        <w:t>FR: GE_GERICHTE AARP/305/2021 du 22 septembre 2021</w:t>
      </w:r>
    </w:p>
    <w:p>
      <w:r>
        <w:t>IT: GE_GERICHTE AARP/305/2021 del 22 settembre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Selon l'art. 139 CPP, les autorités pénales doivent mettre en œuvre tous les moyens de preuve licites. Il n’y a pas de numerus clausus des moyens de preuve acceptables (arrêt du Tribunal fédéral 6B_135/2018 du 22 mars 2019 consid. 3.5). L’art. 141 al. 2 CPP prévoit pour sa part que les preuves administrées de façon illicite ne sont pas exploitables. Les preuves recueillies illicitement par des particuliers peuvent être prises en considération pour autant qu'elles aient pu être obtenues légalement par les autorités pénales et qu'une pesée des intérêts justifie leur exploitation. En pareil cas, il appartient en principe au juge du fond de se prononcer sur le caractère exploitable de ces preuves (ATF 143 IV 270 consid. 7.6 p. 285 ; arrêts du Tribunal fédéral 1B_474/2017 du 8 novembre 2017 consid. 2.2 ; 1B_231/2017 du 17 août 2017 consid. 2.1 ; 1B_75/2017 du 16 août 2017 consid. 4.4 destiné à la publication). En l’espèce, l’appelant conteste la valeur probante des certificats émanant du thérapeute de l’intimé, au motif que ledit thérapeute ne serait pas habilité à poser un</w:t>
      </w:r>
    </w:p>
    <w:p>
      <w:r>
        <w:t>- 7/23 - P/11307/2020 diagnostic. À teneur de l’art. 30 al. 2 let. a du règlement sur les professions de la santé, les psychologues inscrits n’ont effectivement pas le droit de formuler un diagnostic médical. Les certificats produits par le thérapeute de l’intimé ne formulent toutefois pas un diagnostic au sens strict du terme (lequel n’est d’ailleurs pas défini par la loi), et qui doit être compris comme le processus conduisant à l’identification précise d’une affection au sens de la classification internationale des maladies (CIM-10). Ces certificats relèvent en effet simplement les symptômes constatés par le thérapeute, ce qui entre pleinement dans leur mission définie à l’alinéa 1 de la même disposition, à savoir de traiter les états de souffrance et les troubles psychiques par des méthodes psychologiques.</w:t>
      </w:r>
    </w:p>
    <w:p>
      <w:r>
        <w:t>Il n’y a dès lors pas lieu d’écarter les certificats produits par l’intimé, qui sont pour le surplus soumis à la libre appréciation des preuves par la Cour de céans (art. 10 al. 2 CPP).</w:t>
      </w:r>
    </w:p>
    <w:p>
      <w:r>
        <w:rPr>
          <w:b/>
        </w:rPr>
        <w:t>E. 3.1</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w:t>
      </w:r>
    </w:p>
    <w:p>
      <w:r>
        <w:t>La lésion grave peut ainsi revêtir la forme d’une défiguration grave et permanente. Tel est notamment le cas en présence d’une coupure s’étendant de la commissure des lèvres à l’oreille lorsque subsiste une cicatrice qui gêne durablement l’expression du visage, tout comme en cas de lésions manifestes de la peau subsistant plusieurs années après une opération ratée (A. MACALUSO / L. MOREILLON / N. QUELOZ (éds), Commentaire romand, Code pénal II, vol. II, Partie spéciale : art. 111-392 CP, Bâle 2017, n. 8 ad art. 122 CP). L'atteinte doit être permanente, c'est-à-dire durable et non limitée dans le temps; il n'est en revanche pas nécessaire que l'état soit définitivement incurable et que la victime n'ait aucun espoir de récupération (arrêt du Tribunal fédéral 6B_422/2019 du 5 juin 2019 consid. 5.1).</w:t>
      </w:r>
    </w:p>
    <w:p>
      <w:r>
        <w:t>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w:t>
      </w:r>
    </w:p>
    <w:p>
      <w:r>
        <w:t>- 8/23 - P/11307/2020 déterminer si ce résultat doit être qualifié de grave, afin de distinguer les hypothèses de l'art. 122 CP et celles de l'art. 123 CP (lésions corporelles simples).</w:t>
      </w:r>
    </w:p>
    <w:p>
      <w:r>
        <w:rPr>
          <w:b/>
        </w:rPr>
        <w:t>E. 3.2</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w:t>
      </w:r>
    </w:p>
    <w:p>
      <w:r>
        <w:rPr>
          <w:b/>
        </w:rPr>
        <w:t>E. 3.3</w:t>
      </w:r>
    </w:p>
    <w:p>
      <w:r>
        <w:t>En l’espèce, il résulte des photographies versées à la procédure et des constatations médicales que l’appelant a causé à sa victime des cicatrices importantes et défigurantes. Les cicatrices sur la partie gauche du visage, notamment celle au niveau du front et celle entre l’œil et la bouche, modifient profondément l’expression du visage ; la troisième est effectivement moins frappante sur les images produites. La partie plaignante elle-même a de la peine à se regarder dans un miroir. Il ne fait aucun doute que ces cicatrices sont objectivement graves et défigurent la victime, modifiant de façon irréversible l’aspect de son visage, essentiel dans la communication et l’interaction avec autrui. Contrairement à ce que soutient l’appelant, ces cicatrices ne se confondent pas avec les traits du visage, puisqu’il n’y</w:t>
      </w:r>
    </w:p>
    <w:p>
      <w:r>
        <w:t>- 9/23 - P/11307/2020 a aucune symétrie et que seul le côté gauche présente ces lésions. Il s’agit donc bel et bien de lésions graves au sens de l’art. 122 CP.</w:t>
      </w:r>
    </w:p>
    <w:p>
      <w:r>
        <w:t>C’est en vain que l’appelant se prévaut d’une provocation de la victime. Indépendamment d’éventuels propos inadéquats, dont il importe finalement peu de savoir s’ils ont été tenus ou pas, l’attitude de la victime sur les images filmées de la scène ne justifie en aucun cas une agression, puisqu’elle est tranquillement assise sur une chaise. C’est l’appelant qui se lève, qui s’empare d’un verre, qui le brise une première fois sur le visage de la partie plaignante puis lui assène un second coup très violent avec un tesson de verre alors que la victime cherche à se protéger et à le repousser. Les conditions d’une légitime défense, pour autant que ce soit ce que plaidait l’appelant en invoquant une provocation, ne sont à l’évidence pas remplies.</w:t>
      </w:r>
    </w:p>
    <w:p>
      <w:r>
        <w:t>Le verdict de culpabilité pour lésions corporelles graves doit dès lors être confirmé.</w:t>
      </w:r>
    </w:p>
    <w:p>
      <w:r>
        <w:rPr>
          <w:b/>
        </w:rPr>
        <w:t>E. 4.1</w:t>
      </w:r>
    </w:p>
    <w:p>
      <w:r>
        <w:t>et 4.2 et BB.2015.85 du 12 avril 2016 consid. 3.5.2 et 3.5.3). Des exceptions demeurent possibles, charge à l'avocat de justifier l'ampleur d'opérations dont la couverture ne serait pas assurée par le forfait.</w:t>
      </w:r>
    </w:p>
    <w:p>
      <w:r>
        <w:rPr>
          <w:b/>
        </w:rPr>
        <w:t>E. 4.2</w:t>
      </w:r>
    </w:p>
    <w:p>
      <w:r>
        <w:t>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 144 IV 313 consid. 1.1.2)</w:t>
      </w:r>
    </w:p>
    <w:p>
      <w:r>
        <w:rPr>
          <w:b/>
        </w:rPr>
        <w:t>E. 4.3</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4.4</w:t>
      </w:r>
    </w:p>
    <w:p>
      <w:r>
        <w:t>Selon l'art. 48 lit. c CP, le juge peut atténuer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c.2a; 118 IV 233 c.2a). La colère produite par une provocation injuste ou une offense imméritée ne peut être admise que si ces dernières ont provoqué au plus profond de l'auteur une émotion intense et une réaction psychologique personnelle et spontanée (ATF 104 IV 232 c.1c). Le profond désarroi vise en revanche un état d'émotion qui mûrit progressivement pendant une longue période, qui couve pendant longtemps jusqu'à ce que l'auteur soit complètement désespéré et ne voie d'autre issue que d'agir ainsi qu'il le fait (ATF 119 IV 202 c.2a; 118 IV 233 c.2a). L'état d'émotion violente ou de profond désarroi doit être rendu excusable par les circonstances (ATF 119 IV 203 c.2a; 118 IV 233 c.2a). Le plus souvent, il est rendu excusable par le comportement blâmable de la victime à l'égard de l'auteur, mais il</w:t>
      </w:r>
    </w:p>
    <w:p>
      <w:r>
        <w:t>- 11/23 - P/11307/2020 peut aussi l'être par le comportement d'un tiers ou par des circonstances objectives (ATF 119 IV 202 c.2a). N'importe quelles circonstances ne suffisent pas. Il doit s'agir de circonstances dramatiques, dues principalement à des causes échappant à la volonté de l'auteur et qui s'imposent à lui (ATF 119 IV 202 c.2a), lequel ne doit pas être responsable ou principalement responsable de la situation conflictuelle qui le provoque (ATF 118 IV 233 c.2b; 107 IV 103 c.2b/bb p. 106). Il doit par ailleurs s'agir de circonstances objectives, de sorte qu'il faut se demander si un tiers raisonnable, placé dans la même situation que l'auteur, se serait trouvé dans le même état (ATF 108 IV 99 c.3b; 107 IV 103 c.2b/bb p. 106).</w:t>
      </w:r>
    </w:p>
    <w:p>
      <w:r>
        <w:rPr>
          <w:b/>
        </w:rPr>
        <w:t>E. 4.4.2</w:t>
      </w:r>
    </w:p>
    <w:p>
      <w:r>
        <w:t>p. 470; 132 III 715 consid. 2.2 p. 718). Pour dire s'il y a causalité adéquate, il faut examiner si le fait en discussion était propre, selon le cours ordinaire des choses et l'expérience générale de la vie, à entraîner un résultat du genre de celui qui s'est produit (ATF 129 II 312 consid. 3.3 p. 318; 129 V 402 consid. 2.2 p. 405).</w:t>
      </w:r>
    </w:p>
    <w:p>
      <w:r>
        <w:rPr>
          <w:b/>
        </w:rPr>
        <w:t>E. 4.5</w:t>
      </w:r>
    </w:p>
    <w:p>
      <w:r>
        <w:t>Le séjour illégal au sens de l'art. 115 al. 1 let. b LEI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p. 11).</w:t>
      </w:r>
    </w:p>
    <w:p>
      <w:r>
        <w:t>- 12/23 - P/11307/2020</w:t>
      </w:r>
    </w:p>
    <w:p>
      <w:r>
        <w:rPr>
          <w:b/>
        </w:rPr>
        <w:t>E. 4.6</w:t>
      </w:r>
    </w:p>
    <w:p>
      <w:r>
        <w:t>En l’espèce, la faute de l’appelant est lourde. Cédant à la colère et à l’énervement, il n’a pas hésité, pour des motifs futiles et dans le dessein manifeste de défigurer sa victime, à lui porter sciemment des coups au visage avec un morceau de verre tranchant. Les conditions d’application de l’atténuante de l’émotion violente ne sont pas réalisées. Même si la victime devait avoir proféré les paroles injurieuses rapportées par l’appelant, cela ne justifie en aucun cas une réaction d’une telle violence. Sa réaction n'est pas celle d'une personne raisonnable, mais une explosion de colère et de violence, hors de toute proportion avec la situation. Il lui incombait de se maîtriser, voire, si la présence de la victime l’insupportait (comme semble l’indiquer sa tentative antérieure de le faire interdire dans l’établissement), de s’asseoir ailleurs ou de quitter les lieux. Par ailleurs, nonobstant les engagements qu’il avait pris lors de sa libération conditionnelle en 2016, l’appelant a manifestement pris une décision consciente et volontaire de rester en Suisse, sans rien entreprendre pour quitter le pays et revenant ainsi sur sa décision antérieure. Son mobile est purement égoïste, relevant seulement de l’emportement colérique au détriment de l’intégrité physique d’autrui. Sa situation personnelle ne peut justifier de tels actes. Contrairement à ce qu'affirme l'appelant, sa collaboration est sans particularité, dans la mesure où il a minimisé les faits qu’il ne pouvait guère contester, la scène ayant été intégralement filmée. Il a pris partiellement conscience de la gravité de ses actes, acquiesçant sur le principe aux conclusions civiles mais s’opposant au montant de celles-ci. Il a exprimé des regrets, tout en persistant à blâmer la victime pour son geste. Par ailleurs il n’a rien entrepris depuis sa dernière libération conditionnelle, en mai 2016, pour quitter le pays, où il ne dispose d’aucun titre de séjour et vit d’expédients alors qu’il s’y était pourtant engagé. S’il a été empêché de quitter la Suisse pendant la période de pandémie, entre mi-mars 2020 et l’été 2021, en raison de la fermeture des frontières algériennes, il pouvait néanmoins poursuivre les démarches pour obtenir un laissez-passer ou autre document d’identité de son pays. De plus, tel n’est plus le cas aujourd’hui et n’était surtout pas le cas depuis ladite mise en liberté. L’infraction la plus grave est sans aucun doute celle de lésions corporelles graves, qui emporte à elle seule une peine de l’ordre de 18 à 24 mois. Il est ainsi superflu de fixer une peine additionnelle pour le séjour illégal, nonobstant le fait que l’appelant a manifestement renouvelé son intention délictuelle en lien avec cette infraction en restant en Suisse après sa libération conditionnelle en mars 2016, alors qu’il avait annoncé sa décision de quitter le pays, et encourt donc à nouveau une peine pour</w:t>
      </w:r>
    </w:p>
    <w:p>
      <w:r>
        <w:t>- 13/23 - P/11307/2020 cette infraction. En effet, la peine prononcée par le premier juge doit être confirmée et ne peut pas être aggravée en vertu du principe de l’interdiction de la reformatio in peius (art. 391 al. 2 CPP). Pour le surplus, l’appelant ne conteste à raison pas l’amende infligée par le premier juge en lien avec la contravention à l’art. 19a LStup.</w:t>
      </w:r>
    </w:p>
    <w:p>
      <w:r>
        <w:rPr>
          <w:b/>
        </w:rPr>
        <w:t>E. 5.1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lésions corporelles graves (let. b).</w:t>
      </w:r>
    </w:p>
    <w:p>
      <w:r>
        <w:rPr>
          <w:b/>
        </w:rPr>
        <w:t>E. 5.2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5.3</w:t>
      </w:r>
    </w:p>
    <w:p>
      <w:r>
        <w:t>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Le signalement de l'expulsion dans le SIS - comme l'expulsion elle-même - n'est pas soumis au principe d'accusation.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et obligatoirement mentionner dans le dispositif du jugement pénal si le signalement doit être effectué ou s'il y est renoncé. Dans la procédure d'appel, l'interdiction de la reformatio in pejus n'est pas applicable au signalement de l'expulsion, du moins</w:t>
      </w:r>
    </w:p>
    <w:p>
      <w:r>
        <w:t>- 14/23 - P/11307/2020 lorsque la question n'a pas été traitée dans la procédure de première instance (ATF 146 IV 172 consid. 3).</w:t>
      </w:r>
    </w:p>
    <w:p>
      <w:r>
        <w:rPr>
          <w:b/>
        </w:rPr>
        <w:t>E. 5.4</w:t>
      </w:r>
    </w:p>
    <w:p>
      <w:r>
        <w:t>En l'espèce, l'appelant, qui n’a aucun lien avec la Suisse, y réside illégalement et ne fait aucune démarche pour quitter le pays, profitant de sa situation d’algérien, ressortissant d’un pays qui ne collabore pas dans ce domaine, ne saurait se prévaloir d’un quelconque cas de rigueur. Par ailleurs, s’il dit vouloir faire sa vie ailleurs, aucun élément n'indique qu'il serait autorisé à séjourner dans un pays de l’espace Schengen. Rien ne l'empêche de concrétiser ses projets dans son pays natal, étant relevé qu’il peut tout aussi bien vivre en dehors de l’espace Schengen. Au vu des infractions commises, l'intérêt de la collectivité à son éloignement durable de l'espace Schengen prime sur son intérêt privé. Il y a donc lieu d’ordonner que l’expulsion prononcée soit signalée dans le SIS.</w:t>
      </w:r>
    </w:p>
    <w:p>
      <w:r>
        <w:rPr>
          <w:b/>
        </w:rPr>
        <w:t>E. 6.1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Bien que régi par les art. 122 ss CPP, le procès civil dans le procès pénal demeure soumis à la maxime des débats et à la maxime de disposition. L'art. 124 al. 3 CPP prescrit que si le prévenu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Le prévenu peut n'acquiescer que partiellement aux conclusions civiles. Le juge fera alors mention de l'acquiescement partiel au procès-verbal le cas échéant, tandis que, pour le surplus, il demeure tenu de trancher l'action civile jointe tout en étant lié dans la mesure de l'acquiescement. En cas d'acquiescement sur la part d'un montant chiffré, le dispositif donnera acte au prévenu de son acquiescement partiel et statuera sur le solde non reconnu, tout en le condamnant à s'exécuter pour l'entier du montant finalement</w:t>
      </w:r>
    </w:p>
    <w:p>
      <w:r>
        <w:t>- 15/23 - P/11307/2020 retenu (A. KUHN / Y. JEANNERET (éds), Commentaire romand : Code de procédure pénale suisse, Bâle 2011, n. 12 ss ad art. 124 CPP).</w:t>
      </w:r>
    </w:p>
    <w:p>
      <w:r>
        <w:rPr>
          <w:b/>
        </w:rPr>
        <w:t>E. 6.2</w:t>
      </w:r>
    </w:p>
    <w:p>
      <w:r>
        <w:t>En vertu de l'art. 47 de la loi fédérale complétant le Code civil suisse (CO), le juge peut, en tenant compte de circonstances particulières, allouer à la victime de lésions corporelles une indemnité équitable à titre de réparation morale.</w:t>
      </w:r>
    </w:p>
    <w:p>
      <w:r>
        <w:t>Cette indemnité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2ème éd., 2011, p. 385 ; LANDOLT, op. cit., n. 21 ss ad art. 47 CO).</w:t>
      </w:r>
    </w:p>
    <w:p>
      <w:r>
        <w:t>Le Tribunal fédéral admet qu’il soit procédé au calcul de l’indemnité de base en se fondant par analogie sur les dispositions d’application de la loi fédérale sur l'assurance-accidents (LAA), et en appliquant la proportion ainsi déterminée au montant maximal du salaire assuré selon cette législation, soit CHF 148’200.- (art. 22 de l’ordonnance sur l'assurance-accidents [OLAA] ; cf. BERGER, Die Genugtuung und ihre Bestimmung, in WEBER/MÜNCH [édit.], Haftung und Versicherung, 2ème éd. 2015, n 11.41 p. 512). Selon l’annexe 3 OLAA, la perte du pavillon d’une oreille représente une atteinte à l’intégrité de 10% ; la perte du nez ou le scalp une atteinte à l’intégrité de 30% ; une très grave défiguration constituant enfin une atteinte de 50%. Cette proportion sert, en droit des assurances sociales, à la détermination de l’indemnité en proportion du salaire assuré, notion qui n’est pas transposable en droit pénal, mais qui fournit néanmoins une indication pour la première phase de l’évaluation du tort moral fondé sur l’art. 47 CO.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w:t>
      </w:r>
    </w:p>
    <w:p>
      <w:r>
        <w:t>- 16/23 - P/11307/2020 cependant, suivant les circonstances, constituer un élément d'orientation utile (ATF 130 III 699 consid. 5.1; 125 III 269 consid. 2a).</w:t>
      </w:r>
    </w:p>
    <w:p>
      <w:r>
        <w:rPr>
          <w:b/>
        </w:rPr>
        <w:t>E. 6.3</w:t>
      </w:r>
    </w:p>
    <w:p>
      <w:r>
        <w:t>L'éventuelle faute concomitante de la victime peut conduire à une réduction de l'indemnité ; cela suppose cependant que le comportement reproché au lésé soit en rapport de causalité naturelle et adéquate avec la survenance du préjudice (ATF 130 III 591 consid. 5.3 ; 126 III 192 consid. 2d). Un fait est la cause naturelle d'un résultat s'il en constitue une condition sine qua non; en d'autres termes, il existe un lien de causalité naturelle entre deux événements lorsque, sans le premier, le second ne se serait pas produit (ATF 133 III 462 consid.</w:t>
      </w:r>
    </w:p>
    <w:p>
      <w:r>
        <w:rPr>
          <w:b/>
        </w:rPr>
        <w:t>E. 6.4</w:t>
      </w:r>
    </w:p>
    <w:p>
      <w:r>
        <w:t>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Une réduction de l'indemnité pour tort moral est exclue lorsque le bénéficiaire entretient des relations particulières avec la Suisse, par exemple lorsqu'il y travaille, y vit ou lorsqu'il peut y séjourner en tant que proche du lésé (ATF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Le Tribunal fédéral a admis une réduction, non schématique, de l'indemnité pour tort moral versée notamment en matière d’indemnisation des victimes d’infractions,</w:t>
      </w:r>
    </w:p>
    <w:p>
      <w:r>
        <w:t>- 17/23 - P/11307/2020 lorsque les frais d'entretien au domicile de l'intéressé sont beaucoup plus bas. Ainsi, dans son arrêt ATF 125 II 554 consid. 4a p. 559, concernant des ressortissants de Voïvodine, où le pouvoir d'achat est 18 fois inférieur à la Suisse, la réduction a été fixée à la moitié. Par la suite, dans un arrêt 1A.299/2000 du 30 mai 2001 consid. 5c concernant la Bosnie Herzégovine, où le pouvoir d'achat est six à sept fois inférieur à la Suisse, la Haute Cour a considéré qu’une réduction de l'indemnité de 75%, certes élevée, demeurait néanmoins dans les limites du pouvoir d'appréciation de la cour cantonale. Concernant un ressortissant algérien, dans un arrêt 6B_242/2019 du 18 mars 2019 consid. 2.2. et 2.3a au sujet de l’indemnité pour tort moral en cas de détention injustifiée et compte tenu d’un coût de la vie environ 20 fois moins élevé qu'en Suisse, la Haute Cour a admis une réduction du montant journalier de 200.- à CHF 70.- soit une réduction de 65%.</w:t>
      </w:r>
    </w:p>
    <w:p>
      <w:r>
        <w:rPr>
          <w:b/>
        </w:rPr>
        <w:t>E. 6.5</w:t>
      </w:r>
    </w:p>
    <w:p>
      <w:r>
        <w:t>En l’espèce, il est curieux et vraisemblablement contraire à la maxime de disposition que l’appelant, par la voix de son Conseil, revienne sur son acquiescement de principe aux conclusions civiles. En tout état de cause, compte tenu du verdict prononcé, le principe d’une indemnisation est acquis à la partie plaignante, qui a subi une lésion défigurante et souffre encore des conséquences psychologiques de cette agression. Aucune faute concomitante ne peut lui être reprochée. En effet, même si, dans la version la plus favorable à l’appelant, il fallait retenir que le prévenu s’est fait insulter, il n’est pas dans le cours ordinaire des choses de subir une défiguration irréversible en réponse à des mots blessants ; il n’y a donc pas de lien de causalité adéquate entre le comportement imputé au lésé et les gestes de l’appelant. Compte tenu des éléments médicaux figurant au dossier et en l’absence d’expertise, la CPAR retient que la défiguration du lésé n’entre pas dans la catégorie « très grave » au sens de l’annexe 3 OLAA ; une indemnité à hauteur de 50% est clairement exagérée, et doit plutôt être arrêtée à 20 %, ce qui correspond à CHF 29’640.-. Ce montant doit néanmoins être réduit pour tenir compte de la relativement brève prise en charge médicale de la partie plaignante, et, surtout, de sa situation personnelle de ressortissant algérien, non admis à séjourner en Suisse et tenu de quitter le pays. Il n’y a dès lors pas lieu de lui accorder un montant disproportionné en fonction du pouvoir d’achat dans son pays, ce qui reviendrait à l’avantager indûment par rapport à un lésé résidant durablement et stablement en Suisse. Le montant susmentionné doit dès lors être ramené à CHF 8'000.-, somme qui apparaît adéquate compte tenu des séquelles psychiques persistantes de la partie plaignante. L’appel sera donc partiellement admis sur ce point.</w:t>
      </w:r>
    </w:p>
    <w:p>
      <w:r>
        <w:t>- 18/23 - P/11307/2020</w:t>
      </w:r>
    </w:p>
    <w:p>
      <w:r>
        <w:rPr>
          <w:b/>
        </w:rPr>
        <w:t>E. 7</w:t>
      </w:r>
    </w:p>
    <w:p>
      <w:r>
        <w:t>L'appelant, qui succombe pour l’essentiel dans son appel, supportera les trois-quarts des frais de la procédure envers l'État (art. 428 CPP).</w:t>
      </w:r>
    </w:p>
    <w:p>
      <w:r>
        <w:t>Le verdict de culpabilité et le principe de l’indemnisation de l’intimé étant confirmé, l’appelant supportera l’intégralité des frais de la procédure préliminaire, ainsi que la moitié de l’émolument complémentaire de jugement de première instance, le solde de cet émolument restant à la charge de l’Etat (art. 428 al. 3 CPP).</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w:t>
      </w:r>
    </w:p>
    <w:p>
      <w:r>
        <w:t>- 19/23 - P/11307/2020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8.4</w:t>
      </w:r>
    </w:p>
    <w:p>
      <w:r>
        <w:t>En l'occurrence, les activités de réception et analyse du jugement motivé ainsi que la rédaction de la déclaration d’appel (qui n’a pas à être motivée) sont couvertes par la majoration forfaitaire. Elles seront donc écartées.</w:t>
      </w:r>
    </w:p>
    <w:p>
      <w:r>
        <w:t>La rémunération de Me B______ sera partant arrêtée à CHF 1'723.20 correspondant à 6h15 d'activité au tarif de CHF 200.-/heure plus la majoration forfaitaire de 20%, une vacation et l'équivalent de la TVA au taux de 7.7% en CHF 123.20.</w:t>
      </w:r>
    </w:p>
    <w:p>
      <w:r>
        <w:rPr>
          <w:b/>
        </w:rPr>
        <w:t>E. 8.5</w:t>
      </w:r>
    </w:p>
    <w:p>
      <w:r>
        <w:t>L’état de frais du conseil juridique gratuit de l’intimé sera ramené à la même durée, cet avocat ayant une bonne connaissance de la procédure, pour avoir assisté son mandant depuis le début de la procédure. Il ne commandait donc qu’une préparation réduite. La majoration forfaitaire sera de 10%, le nombre d’heures d’activité dépassant dorénavant 30. La rémunération de Me D______ sera partant arrêtée à CHF 1'588.60 correspondant à 6h15 d'activité au tarif de CHF 200.-/heure plus la majoration forfaitaire de 10%, une vacation et l'équivalent de la TVA au taux de 7.7% en CHF 113.60. * * * * *</w:t>
      </w:r>
    </w:p>
    <w:p>
      <w:r>
        <w:t>- 20/23 - P/11307/2020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