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AARP/305/2020 vom 31. August 2020</w:t>
      </w:r>
    </w:p>
    <w:p>
      <w:r>
        <w:t>GE Cour de justice, 2020-08-31, FR</w:t>
      </w:r>
    </w:p>
    <w:p>
      <w:r>
        <w:rPr>
          <w:b/>
        </w:rPr>
        <w:t xml:space="preserve">Quelle: </w:t>
      </w:r>
      <w:r>
        <w:t>https://mcp.opencaselaw.ch/entscheid/ge_gerichte_AARP_305_2020</w:t>
      </w:r>
    </w:p>
    <w:p>
      <w:r>
        <w:t>FR: GE_GERICHTE AARP/305/2020 du 31 août 2020</w:t>
      </w:r>
    </w:p>
    <w:p>
      <w:r>
        <w:t>IT: GE_GERICHTE AARP/305/2020 del 31 agosto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Il y a tentative lorsque l'auteur a réalisé tous les éléments subjectifs de l'infraction et manifesté sa décision de la commettre, alors que les éléments objectifs font, en tout ou en partie, défaut (art. 22 al. 1 CP ; ATF 140 IV 150 consid. 3.4 p. 152 ; 137 IV 113 consid. 1.4.2 p. 115 ; 131 IV 100 consid. 7.2.1 p. 103 ; 128 IV 18 consid. 3b p. 21). La tentative suppose toujours un comportement intentionnel, le dol éventuel étant toutefois suffisant.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w:t>
      </w:r>
    </w:p>
    <w:p>
      <w:r>
        <w:t>- 7/15 - P/10202/2016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w:t>
      </w:r>
    </w:p>
    <w:p>
      <w:r>
        <w:rPr>
          <w:b/>
        </w:rPr>
        <w:t>E. 2.2</w:t>
      </w:r>
    </w:p>
    <w:p>
      <w:r>
        <w:t>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Ph. GRAVEN / B. STRÄULI, op. cit., p. 200 n. 152). L'équivalence des deux formes de dol – direct et éventuel – s'applique à la tentative de meurtre (ATF 122 IV 246 consid. 3a ; arrêt du Tribunal fédéral 6B_1177/2018 du</w:t>
      </w:r>
    </w:p>
    <w:p>
      <w:r>
        <w:rPr>
          <w:b/>
        </w:rPr>
        <w:t>E. 2.3</w:t>
      </w:r>
    </w:p>
    <w:p>
      <w:r>
        <w:t>Se rend coupable de lésions corporelles graves au sens de l'art.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La qualification juridique des lésions corporelles à la suite de coups de poing ou de pied dépend des circonstances concrètes du cas. Sont en particulier déterminantes la violence des coups portés et la constitution de la victime (arrêts 6B_1385/2019 du 27 février 2020 consid. 4.3.1 ; 6B_924/2017 du 14 mars 2018 consid. 1.3.1 ; 6B_802/2013 du 27 janvier 2014 consid. 2.3.3; 6B_388/2012 du 12 novembre 2012 consid. 2.1.1 et 2.4).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p. 157 ; arrêts du Tribunal fédéral 6B_148/2020 du 27 juillet 2020 ; 6B_1385/2019 du 27 février 2020 consid. 4 ; 6B_924/2017 du 14 mars 2018 consid. 1.3.1 ; 6B_901/2014 du 27 février 2015 consid. 2.7.3).</w:t>
      </w:r>
    </w:p>
    <w:p>
      <w:r>
        <w:t>- 9/15 - P/10202/2016</w:t>
      </w:r>
    </w:p>
    <w:p>
      <w:r>
        <w:rPr>
          <w:b/>
        </w:rPr>
        <w:t>E. 2.4</w:t>
      </w:r>
    </w:p>
    <w:p>
      <w:r>
        <w:t>En l’espèce, il n’est pas contesté que l’appelant a porté quatre coups de couteau à la victime. Compte tenu du déroulement des faits, tel que retenu par la Cour, aucune légitime défense, fût-elle putative, ne peut être retenue. Seule est litigieuse la qualification de ces coups de couteau, l’appelant contestant toute intention de blesser gravement ou de tuer. Or, il apparait que le fait de porter plusieurs coups pénétrants, au moyen d’une arme blanche, dans la partie supérieure du corps d’une personne ne peut qu’être vu et compris comme l’intention de lui causer des lésions sérieuses. Chacun sait que le torse est le siège d’organes et de vaisseaux importants ; d’ailleurs en l’espèce, l’un des coups donné à la victime a été clairement porté dans une région du corps – la base du cou - notoirement connue pour abriter l’artère carotide dont la section est potentiellement mortelle à brève échéance ; l’imagerie médicale confirme d’ailleurs la proximité du coup porté avec des artères vitales. Les autres lésions, notamment la lésion à la main caractérisée comme une lésion défensive par les légistes, démontrent que l’appelant a persévéré dans son agression, et que ce n’est que par l’intervention de son accompagnant qu’il y a mis un terme. Dans ces circonstances, la CPAR ne peut que constater, comme les premiers juges avant elle, qu’en portant un coup de couteau à la base du cou de sa victime, l’appelant a pris le risque de la tuer, même si telle n’était pas son intention première. Il y a bien dol éventuel homicide. Le fait que l’arme utilisée ait eu une lame courte n’y change rien vu les conséquences potentielles, étant au surplus relevé qu’un petit couteau est d’autant plus dangereux qu’il est facile à dissimuler. Le verdict de culpabilité entrepris doit être confirmé. 3. 3.1.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w:t>
      </w:r>
    </w:p>
    <w:p>
      <w:r>
        <w:t>- 10/15 - P/10202/2016 suivre le raisonnement adopté. Le juge n'est toutefois pas tenu d'exprimer en chiffres ou en pourcentages l'importance qu'il accorde à chacun des éléments qu'il cite et notamment de l'importance qu'il accorde à l'atténuation de peine admise en vertu de l'art. 22 al. 1 CP (arrêt 6B_553/2014 du 24 avril 2015 consid. 3.5.3). 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3.3. 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 3.4. Le meurtre au sens de l'art. 111 CP est passible d'une peine privative de liberté de cinq ans au moins. Il s’agit en l’espèce de l’infraction la plus grave, pour laquelle la peine de base doit être déterminée. 3.4.1. La faute de l’appelant est très lourde. Après s’être livré pendant plusieurs mois à la vente de cocaïne, il n’a pas hésité à attenter à la vie d’un être humain pour recouvrer une créance liée à son trafic de stupéfiants, prenant ensuite la fuite lâchement, sans secourir la victime et quittant le pays pour se soustraire aux autorités. Les antécédents de l’appelant sont relativement anciens et aspécifiques. Il sera tenu compte du fait qu’il n’est pas établi qu’il ait déjà nourri une intention homicide lorsqu’il s’est présenté au domicile de la victime. Il sera également tenu compte du</w:t>
      </w:r>
    </w:p>
    <w:p>
      <w:r>
        <w:t>- 11/15 - P/10202/2016 fait que la condition objective de l’infraction de meurtre – le décès de la victime – ne s’est heureusement pas concrétisée, le coup porté n’ayant pas concrètement mis la vie du lésé en danger. Sa situation personnelle ne présente aucune particularité qui justifie ou explique ses actes ; en particulier, la grossesse de son épouse ne constitue en rien un élément mitigeant sa faute. Compte tenu de l’ensemble de ces éléments, une peine privative de liberté de quatre ans pour la tentative de meurtre doit être retenue comme peine de base. Cette peine doit être aggravée de neuf mois (peine théorique dix mois) pour tenir compte du trafic de cocaïne en concours, étant relevé qu’au vu des déclarations spontanées de l’appelant en appel, portant sur la vente d’une quantité supérieure à 50 grammes de cette drogue, il se trouve à la limite du cas grave. La peine ainsi calculée est supérieure à celle retenue par les premiers juges. Conformément à l’interdiction de la reformatio in peius, la CPAR ne peut aggraver la peine prononcée, et se contentera de confirmer celle des premiers juges. L’appel doit ainsi être rejeté. 4. L'appelant, qui succombe, supportera les frais de la procédure envers l'Etat (art. 428 CPP). 5. 5.1.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w:t>
      </w:r>
    </w:p>
    <w:p>
      <w:r>
        <w:t>- 12/15 - P/10202/2016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5.2.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t>5.4. En l'occurrence, l’état de frais, comprenant près de 15 heures d’activité de préparation et d’étude de dossier, est manifestement exagéré, s’agissant d’un dossier connu pour avoir été déjà plaidé en première instance et dans lequel les questions posées étaient relativement simples. Huit heures d’activité sont largement suffisantes à ce titre, et l’activité totale, incluant l’audience d’appel, sera arrêtée à 17 heures.</w:t>
      </w:r>
    </w:p>
    <w:p>
      <w:r>
        <w:t>En conclusion, la rémunération sera arrêtée à CHF 3'182.55 correspondant à 17 heures d'activité au tarif de CHF 150.-/heure plus la majoration forfaitaire de 10%, deux forfaits déplacement et l'équivalent de la TVA au taux de 7.7% en CHF 227.55. * * * * *</w:t>
      </w:r>
    </w:p>
    <w:p>
      <w:r>
        <w:t>- 13/15 - P/10202/2016</w:t>
      </w:r>
    </w:p>
    <w:p>
      <w:r>
        <w:rPr>
          <w:b/>
        </w:rPr>
        <w:t>E. 6</w:t>
      </w:r>
    </w:p>
    <w:p>
      <w:r>
        <w:t>juillet 2007 consid. 2.3 – relatif à l'art. 129 CP – avec la jurisprudence et la doctrine citées).</w:t>
      </w:r>
    </w:p>
    <w:p>
      <w:r>
        <w:rPr>
          <w:b/>
        </w:rPr>
        <w:t>E. 9</w:t>
      </w:r>
    </w:p>
    <w:p>
      <w:r>
        <w:t>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w:t>
      </w:r>
    </w:p>
    <w:p>
      <w:r>
        <w:rPr>
          <w:b/>
        </w:rPr>
        <w:t>E. 10</w:t>
      </w:r>
    </w:p>
    <w:p>
      <w:r>
        <w:t>juillet 2012 consid. 1.2 et 1.3). Selon sa nature, un seul coup porté peut suffire pour retenir l'infraction de tentative d'homicide par dol éventuel (arrêts du Tribunal fédéral 6B_924/2017 du 14 mars</w:t>
      </w:r>
    </w:p>
    <w:p>
      <w:r>
        <w:t>- 8/15 - P/10202/2016 2018 consid. 1.4.2 ; 6B_246/2012 du 10 juillet 2012 consid. 1.3 ;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(arrêts du Tribunal fédéral 6B_230/2012 du 18 septembre 2012 consid. 2.3 ; 6B_239/2009 du 13 juillet 2009 consid. 1 et 2.4 – meurtre par dol éventuel retenu avec un couteau dont la lame mesurait 41 millimètres).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"s'est décidé contre le bien juridique" (ATF 133 IV 9 consid. 4.4 = JdT 2007 I 573).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