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AARP/304/2014 vom 20. Juni 2014</w:t>
      </w:r>
    </w:p>
    <w:p>
      <w:r>
        <w:t>GE Cour de justice, 2014-06-20, FR</w:t>
      </w:r>
    </w:p>
    <w:p>
      <w:r>
        <w:rPr>
          <w:b/>
        </w:rPr>
        <w:t xml:space="preserve">Quelle: </w:t>
      </w:r>
      <w:r>
        <w:t>https://mcp.opencaselaw.ch/entscheid/ge_gerichte_AARP_304_2014</w:t>
      </w:r>
    </w:p>
    <w:p>
      <w:r>
        <w:t>FR: GE_GERICHTE AARP/304/2014 du 20 juin 2014</w:t>
      </w:r>
    </w:p>
    <w:p>
      <w:r>
        <w:t>IT: GE_GERICHTE AARP/304/2014 del 20 giugno 2014</w:t>
      </w:r>
    </w:p>
    <w:p>
      <w:pPr>
        <w:pStyle w:val="Heading2"/>
      </w:pPr>
      <w:r>
        <w:t>Erwägungen</w:t>
      </w:r>
    </w:p>
    <w:p>
      <w:r>
        <w:rPr>
          <w:b/>
        </w:rPr>
        <w:t>E. 18</w:t>
      </w:r>
    </w:p>
    <w:p>
      <w:r>
        <w:t>juin 2013, jour de son interpellation. Bien qu’il ne fasse pas l’objet du présent appel, la Cour réexaminera d’office ce chef d’accusation afin de prendre en considération les implications juridiques de l’obtention de la nationalité L______ le</w:t>
      </w:r>
    </w:p>
    <w:p>
      <w:r>
        <w:rPr>
          <w:b/>
        </w:rPr>
        <w:t>E. 22</w:t>
      </w:r>
    </w:p>
    <w:p>
      <w:r>
        <w:t>février 2012 (cf. infra consid. 2.3 et 3.3). 2) 2.1. L’art. 19 al. 1 LStup prévoit notamment qu’est punissable celui qui, sans droit, transporte, possède, détient, achète, acquiert d’une autre manière des stupéfiants ou prend des mesures à ces fins s’il a agi intentionnellement. Cette infraction est composée de trois éléments constitutifs : il faut que l’auteur ait adopté l’un des comportements décrits, qui doit porter sur un stupéfiant ou une substance psychotrope et qu’il ait agi intentionnellement (arrêt du Tribunal fédéral 6B_424/2012 du 25 octobre 2012 consid. 1.2). Le législateur a érigé en infraction distincte, punissable de la même manière que les autres actes prohibés, toutes les formes de tentatives (art. 22 et 23 CP) et certains actes antérieurs mais caractéristiques de la préparation d’une infraction à l’art. 19 al. 1 LStup (B. CORBOZ, Les infractions en droit suisse, vol. II, 3e édition, Berne 2010, n. 60 p. 909). Conformément à la jurisprudence, ne peut prendre des mesures au sens de l’art. 19 al. 1 let. g LStup que celui qui projette d’accomplir l’un des actes énumérés à l’art. 19 al. 1 let. a à f en qualité d’auteur ou de coauteur avec d’autres personnes ; tel n’est pas le cas de celui qui n’envisage pas de commettre un tel acte (ATF 130 IV 131 consid. 2.2.2 p. 136 ; arrêt du Tribunal fédéral 6B_33/2011 du 7 novembre 2011 consid. 1.2). Des lors que l’art. 19 al. 1 LStup érige les comportements qui y sont mentionnés comme des infractions indépendantes, la qualification de complicité de tels actes ne peut être envisagée qu’avec la plus grande retenue (arrêt du Tribunal fédéral 6B_460/2013 du 17 décembre 2013 consid. 2.2). Selon l’art. 19 al. 2 let. a LStup, l’infraction est grave notamment lorsque l’auteur sait ou ne peut ignorer qu’elle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w:t>
      </w:r>
    </w:p>
    <w:p>
      <w:r>
        <w:t>- 10/20 - P/9220/2013 156). S’agissant de la quantité pour la cocaïne, la condition est objectivement remplie dès que l’infraction porte sur une quantité contenant 18 grammes de substance pure (ATF 109 IV 143 consid. 3b p. 145 ; arrêt du Tribunal fédéral 6B_632/2008 du 10 mars 2009 consid. 2. B. CORBOZ, op. cit., n. 81 p. 917). Si l’auteur commet plusieurs actes distincts, les quantités qui en sont l’objet doivent être additionnées (ATF 112 IV 109 consid. 2b p. 113). En l’absence d’analyse de la drogue saisie et faute d’autres éléments, le juge peut admettre que la drogue était d’une qualité moyenne et se référer au degré de pureté habituel sur le marché à l’époque et au lieu en question (B. CORBOZ, op. cit., n. 86 p. 918). 2.2. L’art. 305 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(art. 305 bis ch. 2 al. 1 CP). Le cas est grave notamment lorsque le délinquant réalise un chiffre d’affaires ou un gain importants en faisant métier de blanchir de l’argent (art. 305 bis ch. 2 al. 2 let. c CP).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 Selon la jurisprudence, sont notamment constitutifs d’un acte d’entrave au sens de l’art. 305 bis CP, la dissimulation d’argent provenant d’un trafic de drogue, par exemple dans la cuisine, chez un tiers, dans une cachette aménagée, le placement d’un tel argent, la conversion en d’autres devises ou l’échange de coupures, le transfert international de fonds (ATF 127 IV 24 ; 122 IV 211 ; 119 IV 242 ; 119 IV 59 ; B. CORBOZ. op. cit, 305 bis CP, no 25, p. 635 ; U. CASSANI, Commentaire du droit pénal suisse, partie spéciale, vol. 9, 1996, n. 37 ad art. 305 bis CP). Commet ainsi un acte d’entrave, celui qui conserve de l’argent d’origine criminelle dans son appartement, lorsqu’il résulte des circonstances qu’il a mis son appartement à disposition pour qu’il serve de cachette provisoire à l’argent (cf. ATF 6S.702/2000 du 14 août 2008 consid. 2.2 ; ATF 6B_621/2008 du 20 mai 2009 consid 2.1). En revanche, un simple versement d’argent provenant d’un trafic de drogue sur un compte bancaire personnel, ouvert au lieu de son domicile et servant aux paiements privés habituels, ne constitue pas un acte d’entrave (ATF 124 IV 274 consid. 4a p.</w:t>
      </w:r>
    </w:p>
    <w:p>
      <w:r>
        <w:t>- 11/20 - P/9220/2013 278/279), pas plus que la simple possession ou garde d’argent de provenance délictueuse (ATF 128 IV 117 consid. 7a p. 131/132).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Le Tribunal fédéral a par exemple admis que l’indication dans l’acte d’accusation selon laquelle la « somme [en cause] provenait d’un trafic de stupéfiant » était une description suffisante du crime préalable (arrêt 6B_489/2013 du 9 juillet 2013 consid. 1.4). 2.3. L'art. 10 LEtr dispose que tout étranger peut séjourner en Suisse sans exercer d'activité lucrative pendant trois mois sans autorisation, sauf si la durée fixée dans le visa est plus court (al. 1). L'étranger qui prévoit un séjour plus long sans activité lucrative doit être titulaire d'une autorisation. Il doit la solliciter avant son entrée en Suisse auprès de l'autorité compétente du lieu de résidence envisagé (al. 2). Selon l’art. 3 de l'Accord du 21 juin 1999 entre la Confédération suisse, d'une part, et la Communauté européenne et ses États membres, d'autre part, sur la libre circulation des personnes (ALCP : RS 0.142.112.681), ainsi que l’art. 1 de l’Annexe I de celui- ci, les ressortissants des parties contractantes, dont la République portugaise, sont exemptés de l'obligation de visa pour entrer en Suisse. Un séjour excédant trois mois (art. 10 LEtr) requiert cependant toujours une autorisation, qui doit être demandée à Genève auprès de l'OCP. Les personnes sans activité lucrative doivent par ailleurs prouver qu'elles disposent de moyens financiers suffisants pour subvenir à leurs besoins ainsi que d'une couverture d'assurance maladie et accidents couvrant tous les risques (art. 24 § 1 de l'Annexe I à l'ALCP et art. 5 al. 1 let. b LEtr). Si les autorités compétentes constatent qu'un ressortissant d'un Etat de l'Union Européenne (ci- après : UE) séjourne en Suisse au-delà de trois mois sans respecter les conditions légales, elles peuvent procéder à son refoulement (cf. réponse du Conseil fédéral du 1er octobre 2010 à la question Nidegger 10.3840).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Un ressortissant d'un pays membre de l'UE se trouve en situation irrégulière s'il séjourne en Suisse sans remplir les conditions matérielles d'octroi d'une autorisation</w:t>
      </w:r>
    </w:p>
    <w:p>
      <w:r>
        <w:t>- 12/20 - P/9220/2013 prévue par l'ALCP, c'est-à-dire sans pouvoir justifier d'un droit de séjour fondé sur l'accord. Tel est par exemple le cas d'un citoyen communautaire qui réside en Suisse sans y exercer d'activité lucrative ni disposer de ressources nécessaires pour subvenir à ses besoins, étant précisé que la mendicité n'est pas considérée comme une activité économique (Roswitha PETRY, La situation juridique des migrants sans statut légal, Thèse Genève, Schulthess 2013, p. 141). Le séjour illégal est un délit continu (ATF 135 IV 6 consid. 3.2 p. 9), l'infraction étant achevée au moment où le séjour prend fin (arrêt du Tribunal fédéral 6B_196/2012 du 24 janvier 2013 consid. 1.3). L'infraction peut être à nouveau commise si, après avoir été jugé pour de tels faits, le condamné poursuit ou renouvelle son séjour illégal en Suisse. 3) 3.1. En l’occurrence, dès son audition à la police, l’appelant a admis se livrer à un trafic de cocaïne permanent visant à subvenir à ses besoins. Dans un premier temps, il a ainsi reconnu avoir vendu à C______ une quantité d’environ 714 grammes de cocaïne pour un montant d’EUR 50'000.- sur cinq ans et à D______ une quantité de 41 grammes de cocaïne pour CHF 4'160.- sur les huit derniers mois. Il a également admis avoir vendu à une dizaine de clients environ 86,8 grammes de cocaïne de juin 2011 à octobre 2012 pour un montant total de CHF 7’440.- et environ 400 grammes de cocaïne entre les mois d’octobre 2012 et de juin 2013. Selon ses propres mots, le bénéfice retiré de cette activité illicite lui servait à se nourrir et à subvenir à ses besoins.</w:t>
      </w:r>
    </w:p>
    <w:p>
      <w:r>
        <w:t>A aucun moment, l’appelant n’a remis en cause le fait qu’il achetait toutes les deux semaines au moins une dizaine de boulettes de cocaïne à son fournisseur situé en M______ dans le but de les revendre à sa clientèle en Suisse. La diversité de ses lieux habituels de rendez-vous pour effectuer ses transactions, confirmée par deux de ses clients, étaye aussi une certaine fréquence de son activité illicite.</w:t>
      </w:r>
    </w:p>
    <w:p>
      <w:r>
        <w:t>Bien que les déclarations de l’appelant divergent sur certains aspects de celles des toxicomanes entendus, elles concordent néanmoins sur les quantités. En effet, à la lecture du dossier, en particulier des procès-verbaux d’audition, il apparaît que tous les calculs effectués l’ont été en fonction des indications fournies tant par l’appelant que par ses clients. Ces derniers sont demeurés constants dans leur propos, y compris lors de l’audience de confrontation. L’appelant ne réduira d’ailleurs les quantités en lien avec D______ qu’après avoir pris connaissance des déclarations de celle-ci.</w:t>
      </w:r>
    </w:p>
    <w:p>
      <w:r>
        <w:t>Ainsi, au fur et à mesure de l’instruction préparatoire, l’appelant a tenté de minimiser progressivement l’étendue de son trafic de drogue pour finalement le réduire à 15,5 grammes de cocaïne vendus à C______ et D______. En dépit de ses dénégations, il ne conteste toutefois pas la réalisation de la limite supérieure du cas grave.</w:t>
      </w:r>
    </w:p>
    <w:p>
      <w:r>
        <w:t>- 13/20 - P/9220/2013</w:t>
      </w:r>
    </w:p>
    <w:p>
      <w:r>
        <w:t>Au vu de ce qui précède, son revirement ne saurait convaincre.</w:t>
      </w:r>
    </w:p>
    <w:p>
      <w:r>
        <w:t>Dans ces circonstances, c’est à bon droit que le premier juge l’a reconnu coupable d’infraction grave à la LStup.</w:t>
      </w:r>
    </w:p>
    <w:p>
      <w:r>
        <w:t>3.2. Au sujet de l’infraction de blanchiment d’argent, l’appelant admet qu’au moins une partie de ses transferts d’argent avait pour objet des fonds provenant du trafic de drogue. Il n’établit pas avoir eu une quelconque autre source de revenus. Cette hypothèse n’est au demeurant guère plausible vu son statut et son activité illégale. Il n’établit pas non plus avoir effectué des versements licites pour des tiers. En ces circonstances, force est de retenir que la totalité de ses liquidités provenaient du trafic de drogue, de sorte que le jugement entrepris doit être confirmé sur ce point également.</w:t>
      </w:r>
    </w:p>
    <w:p>
      <w:r>
        <w:t>3.3. Quant à l’infraction à la LEtr, le jugement de première instance retient que l’appelant est entré illégalement en Suisse en 2009 à tout le moins, sans disposer de visa. Il a ensuite séjourné sur le territoire helvétique sans moyens de subsistance jusqu’à son interpellation au mois de juin 2013, même après l’obtention de son passeport L______.</w:t>
      </w:r>
    </w:p>
    <w:p>
      <w:r>
        <w:t>Cependant, au vu des principes sus-rappelés, l’appelant doit être considéré comme un ressortissant de l’UE à compter du 22 février 2012, date de délivrance de ses documents d’identité L______. Du mois de février 2012 au 18 juin 2013, il avait donc toute latitude pour entrer librement en Suisse. En revanche, il n’a pas effectué les démarches visant à l’obtention d’un titre de séjour, ni ne bénéficiait des ressources suffisantes. Dès lors, son séjour en Suisse ne pouvait dépasser trois mois, soit la fin du mois de mai 2012.</w:t>
      </w:r>
    </w:p>
    <w:p>
      <w:r>
        <w:t>Il s’ensuit que l’appelant est entré illégalement à réitérées reprises en Suisse du 23 décembre 2008 au 22 février 2012. Il a séjourné illégalement en Suisse de la même date au 22 février 2012, et de juin 2012 à juin 2013.</w:t>
      </w:r>
    </w:p>
    <w:p>
      <w:r>
        <w:t>Le jugement entrepris sera partiellement réformé et l’appelant, acquitté du chef d’entrée illégale à partir du mois de février 2012 et de séjour illégal pour la période allant de février 2012 à fin mai 2012.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w:t>
      </w:r>
    </w:p>
    <w:p>
      <w:r>
        <w:t>- 14/20 - P/9220/2013 tenu de sa situation personnelle et des circonstances extérieures (al. 2). Comme sous l'ancien droit, le facteur essentiel est celui de la faute.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- 15/20 - P/9220/2013 La peine peut être atténuée dans les cas d'infraction à l'art. 19 al. 2 LStup si l'auteur est dépendant et que cette infraction aurait dû servir au financement de sa propre consommation de stupéfiants. L'auteur doit être toxicodépendant au sens de la classification CIM-10 de l'OMS et non seulement consommateur et son trafic de drogue doit exclusivement financer sa propre toxicomanie (FF 2006 8179). 4.1.3.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 4.2.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Le rapport entre la partie ferme et avec sursis de la peine doit être fixé de telle manière que, d'une part, la probabilité d'un comportement futur de l'auteur conforme à la loi mais aussi sa culpabilité soient équitablement prises en compte. Le juge</w:t>
      </w:r>
    </w:p>
    <w:p>
      <w:r>
        <w:t>- 16/20 - P/9220/2013 dispose à ce propos d'un large pouvoir d'appréciation (cf. ATF 134 IV 1, consid. 5.6 p. 15). 4.3.1. En l’espèce, la faute de l’appelant est lourde. Sur une longue période pénale, d’au moins deux ans, il s’est livré à un trafic de stupéfiants en vendant une grande quantité de cocaïne à plusieurs toxicomanes, dont deux régulièrement. Déjà en 2008, lors de son arrivée en Suisse, il vivait de l’argent qu’il retirait du commerce de la drogue. En outre, son mode de procéder dénote un certain professionnalisme, puisqu’il avait deux téléphones dont l’un servant exclusivement à la clientèle pour son trafic de cocaïne. Il disposait également de plusieurs lieux de rendez-vous prédéterminés pour rencontrer ses clients. Avant de revenir sur ses déclarations, il avait lui-même indiqué que les quantités de cocaïne achetées auprès d’un fournisseur en M______ étaient destinées à la revente et non à une consommation personnelle. Il n’a pas hésité à traverser la frontière franco-suisse pour importer de la drogue à Genève. Alors même qu’il avait obtenu, au mois de février 2012, les documents d’identité attestant de sa nationalité L______, ce qui lui permettait de bénéficier d’un titre de séjour et d’accéder au marché suisse du travail en toute légalité, il a préféré continuer dans le trafic de stupéfiants, par appât d’un gain facile à obtenir. A aucun moment, il n’a voulu mettre un terme à son activité pour trouver un emploi, malgré ses affirmations. Il a été interpellé alors qu’il s’apprêtait à vendre 12 grammes de cocaïne à C______. Son comportement, visant à séjourner en Suisse sans autorisation valable, dénote également un mépris des lois en vigueur. Sa collaboration a été mauvaise. Face aux résultats de l’enquête de police, il n’a cessé de minimiser l’ampleur de son trafic de stupéfiants. Il s’est rétracté sur certains faits admis au cours de l’instruction et n’a reconnu ceux réfutés qu’une fois confronté aux preuves irréfutables recueillies contre lui. Son antécédent est de même nature. L’appelant ayant commis plusieurs infractions, il y a concours (art. 49 al. 2 CP). N’étant pas toxicomane mais tout au plus un consommateur occasionnel de stupéfiants selon ses dires, il ne saurait prétendre à une atténuation de la peine en application de l’art. 19 al. 3 LStup, pas davantage qu’il ne peut faire valoir de circonstance atténuante au sens de l’art. 48 CP. Cela étant, il y a lieu de tenir compte de la réduction de la période pénale relative à l’infraction à la LEtr dans la fixation de la peine.</w:t>
      </w:r>
    </w:p>
    <w:p>
      <w:r>
        <w:t>- 17/20 - P/9220/2013 En conséquence, la peine privative de liberté de trois ans infligée par le premier juge sera portée à deux ans et neuf mois de peine privative de liberté. 4.3.2. Le pronostic quant au comportement de l’appelant est défavorable. Il a déjà fait l’objet d’une condamnation à une peine pécuniaire de 360 jours-amende, avec sursis, pour délit contre la LStup dans les cinq ans précédant les faits reprochés dans la présente procédure et a récidivé dans le délai d’épreuve. Nonobstant l’acquisition de la nationalité L______, ce qui lui aurait permis de chercher plus facilement du travail, il a persisté dans son activité illicite et aucun élément du dossier ne permet de retenir une volonté de changer de mode de vie. En conséquence, c’est à juste titre que les premiers juges ne l’ont pas mis au bénéfice du sursis partiel. 5) Le jugement entrepris sera confirmé pour le surplus. 6) Les motifs ayant conduit le premier juge à prononcer, par ordonnance séparée du 19 décembre 2013, le maintien de l'appelant en détention pour des motifs de sûreté sont toujours d'actualité, ce que celui-ci ne conteste au demeurant pas, de sorte que la mesure sera reconduite mutatis mutandis (ATF 139 IV 277 consid. 2.2 à 2.3). 7) L'appelant, qui succombe pour l’essentiel, supportera les frais de la procédure envers l'État (art. 428 CPP), y compris un émolument de CHF 1'200.- (art. 14 al. 1 let. e du règlement fixant le tarif des frais en matière pénale, RTFMP ; 4 10.03). * * * * *</w:t>
      </w:r>
    </w:p>
    <w:p>
      <w:r>
        <w:t>- 18/20 - P/9220/2013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