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AARP/304/2013 vom 24. Juni 2013</w:t>
      </w:r>
    </w:p>
    <w:p>
      <w:r>
        <w:t>GE Cour de justice, 2013-06-24, FR</w:t>
      </w:r>
    </w:p>
    <w:p>
      <w:r>
        <w:rPr>
          <w:b/>
        </w:rPr>
        <w:t xml:space="preserve">Quelle: </w:t>
      </w:r>
      <w:r>
        <w:t>https://mcp.opencaselaw.ch/entscheid/ge_gerichte_AARP_304_2013</w:t>
      </w:r>
    </w:p>
    <w:p>
      <w:r>
        <w:t>FR: GE_GERICHTE AARP/304/2013 du 24 juin 2013</w:t>
      </w:r>
    </w:p>
    <w:p>
      <w:r>
        <w:t>IT: GE_GERICHTE AARP/304/2013 del 24 giugno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L’appelant a certes été relativement constant, mais ses déclarations n’en sont pas moins invraisemblables. Il n’est pas crédible que le frère de l’appelant, dont il n’est ni allégué ni établi qu’il disposerait de revenus importants et qui a des charges de famille, serait en mesure de l’entretenir dans l’oisiveté. L’existence d’amis également disposés à l’aider n’est pas plus établie. A cela s’ajoute que l’appelant a déjà été condamné pour délit, et non simple contravention, à la LStup. Dans ces</w:t>
      </w:r>
    </w:p>
    <w:p>
      <w:r>
        <w:t>- 5/8 - P/5721/2012 circonstances, la seule explication plausible au fait que l’appelant ait pu résider à Genève pendant au moins six mois et ait été trouvé en possession de 25 g de haschisch et d’un montant de plus de CHF 800.- alors qu’il n’a aucune source de revenus licite est qu’il se livre à la vente de ce stupéfiant et que l’argent trouvé sur lui était le fruit de son commerce.</w:t>
      </w:r>
    </w:p>
    <w:p>
      <w:r>
        <w:t>Le verdict de culpabilité doit donc être confirmé et l’appel rejeté.</w:t>
      </w:r>
    </w:p>
    <w:p>
      <w:r>
        <w:rPr>
          <w:b/>
        </w:rPr>
        <w:t>E. 3.1</w:t>
      </w:r>
    </w:p>
    <w:p>
      <w:r>
        <w:t>Selon l'art. 47 du Code pénal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L’appelant persiste, au mépris d’une précédente condamnation, à séjourner illégalement en Suisse et à y pratiquer le commerce de haschisch. Son mobile est nécessairement celui de l’appât du gain. L’intention délictuelle est forte, vu la durée du séjour illégal et la récidive, immédiate et durable s’agissant du séjour illégal, à bref délai pour la vente de haschisch. Il y a concours d’infractions. La faute doit ainsi être qualifiée de moyenne. Il n’y a eu aucune collaboration de la part de l’appelant et rien dans son attitude ou ses déclarations ne permet de penser qu’il y aurait chez lui ne serait-ce qu’un début de prise de conscience. Sa situation à Genève était certainement précaire, mais cela est la conséquence de son choix de venir y vivre au mépris de la législation sur les étrangers, choix d’autant moins compréhensible qu’à le croire, il disposait d’un travail dans son pays d’origine.</w:t>
      </w:r>
    </w:p>
    <w:p>
      <w:r>
        <w:t>Dans ces circonstances, la peine privative de liberté de six mois infligée par le premier juge est adéquate et doit être confirmée.</w:t>
      </w:r>
    </w:p>
    <w:p>
      <w:r>
        <w:rPr>
          <w:b/>
        </w:rPr>
        <w:t>E. 4.1</w:t>
      </w:r>
    </w:p>
    <w:p>
      <w:r>
        <w:t>Si, durant le délai d'épreuve, le condamné commet un crime ou un délit et qu'il y a dès lors lieu de prévoir qu'il commettra de nouvelles infractions, le juge révoque le sursis ou le sursis partiel (art. 46 al. 1 CP). S'il n'y a pas lieu de prévoir que le</w:t>
      </w:r>
    </w:p>
    <w:p>
      <w:r>
        <w:t>- 6/8 - P/5721/2012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4.2</w:t>
      </w:r>
    </w:p>
    <w:p>
      <w:r>
        <w:t>L’appelant n’a manifestement pas compris le sens du sursis qui lui a été octroyé le 23 octobre 2012, puisqu’il a continué de séjourner illégalement en Suisse et s’est derechef adonné à la vente de haschisch à peine six mois après ce prononcé, soit bien avant l’échéance du délai d’épreuve de trois ans. Vu l’absence totale de collaboration et de prise de conscience, il n’est guère crédible qu’il envisagerait cette fois de quitter la Suisse pour rejoindre son frère en Belgique. Il faut donc prévoir que l’appelant réitérera ses agissements dès sa libération. Dans ces circonstances, la révocation du sursis s’imposait et a été prononcée à juste titre par le premier juge, dont le jugement sera confirmé sur ce point également.</w:t>
      </w:r>
    </w:p>
    <w:p>
      <w:r>
        <w:rPr>
          <w:b/>
        </w:rPr>
        <w:t>E. 5</w:t>
      </w:r>
    </w:p>
    <w:p>
      <w:r>
        <w:t>L'appelant, qui succombe, supportera les frais de la procédure envers l'État comprenant un émolument de CHF 1'000.- (art. 428 CPP et art. 14 al. 1 let. e du règlement fixant le tarif des frais en matière pénale, du 22 décembre 2010 [RTFMP ; RS-GE E 4 10.03]).</w:t>
      </w:r>
    </w:p>
    <w:p>
      <w:r>
        <w:t>* * * * *</w:t>
      </w:r>
    </w:p>
    <w:p>
      <w:r>
        <w:t>- 7/8 - P/5721/2012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