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AARP/302/2020 vom 30. August 2020</w:t>
      </w:r>
    </w:p>
    <w:p>
      <w:r>
        <w:t>GE Cour de justice, 2020-08-30, FR</w:t>
      </w:r>
    </w:p>
    <w:p>
      <w:r>
        <w:rPr>
          <w:b/>
        </w:rPr>
        <w:t xml:space="preserve">Quelle: </w:t>
      </w:r>
      <w:r>
        <w:t>https://mcp.opencaselaw.ch/entscheid/ge_gerichte_AARP_302_2020</w:t>
      </w:r>
    </w:p>
    <w:p>
      <w:r>
        <w:t>FR: GE_GERICHTE AARP/302/2020 du 30 août 2020</w:t>
      </w:r>
    </w:p>
    <w:p>
      <w:r>
        <w:t>IT: GE_GERICHTE AARP/302/2020 del 30 agosto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1.3</w:t>
      </w:r>
    </w:p>
    <w:p>
      <w:r>
        <w:t>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w:t>
      </w:r>
    </w:p>
    <w:p>
      <w:r>
        <w:t>Le critère déterminant pour déterminer le pouvoir d’examen de la juridiction d’appel est l’objet des débats de première instance et non celui du jugement. L’appel sera donc restreint si le prévenu a été renvoyé devant le tribunal pour une ou des contraventions, qu’il s’agisse d’une contravention de droit fédéral ou de droit cantonal (CR CPP-KISTLER VIANIN, 2ème éd., 2019, N 24 ad art. 398).</w:t>
      </w:r>
    </w:p>
    <w:p>
      <w:r>
        <w:t>2.2.2. En l’espèce, seules des contraventions ont fait l’objet de la procédure de première instance, l’appelant ayant été renvoyé devant le TP par ordonnance pénale du service des contraventions. Le pouvoir d’examen de la Chambre de céans se trouve ainsi limité, s’agissant des faits, à l’arbitraire, aucune nouvelle allégation ou preuve nouvelle ne pouvant être admise à ce stade.</w:t>
      </w:r>
    </w:p>
    <w:p>
      <w:r>
        <w:t>- 10/20 - P/22132/2019</w:t>
      </w:r>
    </w:p>
    <w:p>
      <w:r>
        <w:t>L’ensemble des pièces nouvelles déposées par l’appelant en procédure d’appel, à savoir l’« avis de classement » du 18 mars 2020 rendu par le Procureur de la République à E______, l’email à l’attention de Me F______, les « déclarations sur l’honneur », les emails de G______, les vidéos, les photographies de plaques d’immatriculation et l’avis de droit de l’Institut suisse de droit comparé seront ainsi déclarée irrecevables. Il en ira de même des arguments de l’appelant liés à ces pièces, invoqués uniquement en appel et qui constituent dès lors de nouvelles allégations qui ne sauraient être examinées.</w:t>
      </w:r>
    </w:p>
    <w:p>
      <w:r>
        <w:t>2.3.1. Aux termes de l’art. 406 CPP, la juridiction d’appel peut traiter l’appel en procédure écrite si seuls des points de droit doivent être tranchés (let. a) ou si le jugement de première instance ne porte que sur des contraventions et que l’appel ne porte pas sur une déclaration de culpabilité pour un crime ou un délit (let.c.). En principe, la procédure d'appel est orale et publique (art. 69 CPP). Dans certains cas, afin de décharger les instances judiciaires, le législateur permet toutefois à la juridiction d'appel de remplacer les débats par une procédure écrite (arrêt du Tribunal fédéral 6B_76/2013 du 29 août 2013, consid. 1.1). La CourEDH admet en outre la tenue d’une procédure écrite en deuxième instance, à la condition que la procédure de première instance se soit déroulée oralement et publiquement (CR CPP- KISTLER-VIANIN, 2ème éd., 2019, N 2 ad art. 406 ; CourEDH, arrêt Ekbatani c. Suède du 26 mai 1988). L’art. 406 al. 1 CPP énumère limitativement les cas où l’appel peut être traité en procédure écrite. Il en découle a contrario que cette décision peut être prise contre la volonté des parties, voire même sans les consulter (CR CPP-KISTLER VIANIN, 2ème éd., 2019, N 3-4 ad art. 406).</w:t>
      </w:r>
    </w:p>
    <w:p>
      <w:r>
        <w:t>La lettre a. de cette disposition prévoit notamment que la procédure est écrite si seuls des points de droit (par opposition aux circonstances de fait) doivent être tranchés. Par exemple, la juridiction d'appel pourra renoncer aux débats lorsque l'appel concerne la validité de la plainte, la prescription des actes incriminés ou la qualification de l'infraction (arrêt du Tribunal fédéral 6B_76/2013 du 29 août 2013, consid. 1.1). 2.3.2. En l’espèce, tant l’appel (pour lequel le pouvoir d’examen de la Chambre de céans est en tout état de cause limité à l’arbitraire s’agissant des faits [cf. consid. 2.2.2.]) que l’appel joint portent exclusivement sur des questions de droit. En effet, l’appelant sollicite, certes, son acquittement, mais ne conteste pas le fait d’avoir circulé avec des plaques « B______ » et sans son permis de conduire français au moment du contrôle effectué par la police. Savoir s’il pouvait circuler avec des plaques d’immatriculation et un permis de conduire « B______ » est une question de droit. Il en va de même des questions soulevées par le MP dans son appel joint, qui porte uniquement sur la qualification de l’infraction reprochée. En vertu de l’art. 406 al. 1 let. a CPP, la procédure écrite a ainsi valablement été ordonnée, même en l’absence d’accord de l’appelant sur ce point, étant rappelé que</w:t>
      </w:r>
    </w:p>
    <w:p>
      <w:r>
        <w:t>- 11/20 - P/22132/2019 ce dernier a déjà bénéficié d’une procédure orale en première instance, à laquelle il était d’ailleurs libre de se faire assister de son conseil s’il le souhaitait.</w:t>
      </w:r>
    </w:p>
    <w:p>
      <w:r>
        <w:rPr>
          <w:b/>
        </w:rPr>
        <w:t>E. 2</w:t>
      </w:r>
    </w:p>
    <w:p>
      <w:r>
        <w:t>2.1.1. Selon l’art. 87 al. 3 CPP, si les parties sont pourvues d’un conseil juridique, les communications sont valablement notifiées à celui-ci.</w:t>
      </w:r>
    </w:p>
    <w:p>
      <w:r>
        <w:t>2.1.2. En l’espèce, le jugement motivé a été notifié directement à l’appelant, selon ce dernier, et non à son conseil qui s’est constitué au moment du dépôt de l’annonce d’appel.</w:t>
      </w:r>
    </w:p>
    <w:p>
      <w:r>
        <w:t>Si le TP aurait effectivement dû notifier le jugement au conseil de l’appelant, cette question demeure néanmoins purement théorique, dès lors qu’elle n’a engendré aucune conséquence pour l’appelant, qui a déposé sa déclaration d’appel dans le délai prévu par l’art. 399 al. 3 CPP. 2.2.1.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w:t>
      </w:r>
    </w:p>
    <w:p>
      <w:r>
        <w:rPr>
          <w:b/>
        </w:rPr>
        <w:t>E. 3</w:t>
      </w:r>
    </w:p>
    <w:p>
      <w:r>
        <w:t>3.1.1. Aux termes de l’art. 97 al. 1 let. f LCR, est punissable pour usage abusif, celui qui utilise des plaques de contrôle falsifiées ou contrefaites. Falsifier consiste à modifier une plaque ou un signe distinctif authentique, par exemple en modifiant un chiffre, une lettre, voire un écusson. En revanche, une plaque simplement rendue illisible n’est pas falsifiée. Il faut cependant que la modification apporte une modification du message véhiculé par la plaque, de sorte qu’une petite modification qui ne change rien à l’identification de l’immatriculation ne doit pas être considérée comme un acte de falsification (JEANNERET, Les dispositions pénales de la Loi sur la circulation routière (LCR), Berne 2007, N 115 ad art. 97). Des copies fidèles de vraies plaques de contrôle sont considérées comme falsifiées au sens de l'art. 97 al. 1 let. e et f LCR parce qu'elles n'ont pas été établies par l'autorité compétente. Le matériel utilisé n'est pas déterminant (ATF 143 IV 515 consid. 1.2). Contrefaire consiste à fabriquer d’une quelconque manière une plaque de contrôle ou un signe distinctif présentant suffisamment de similitude avec les signes authentiques pour créer un risque de confusion. Tel est le cas de celui qui fabrique, en métal, en bois ou en carton des plaques qui ressemblent plus ou moins fidèlement à des plaques authentiques. Une fausse plaque est une contrefaçon punissable même si elle comporte le numéro d’immatriculation correct du véhicule sur lequel elle est apposée. En revanche, ne sera pas une contrefaçon la plaque si grossièrement conçue qu’elle ne ressemble à rien. En définitive, seule la plaque réalisée par le fabricant autorisé n’est pas une contrefaçon (JEANNERET, op.cit., N 115 ad art. 97). Il est fait usage des plaques de contrôle au sens de l'art. 97 al. 1 let. f LCR lorsque celles-ci sont posées sur un véhicule et introduites dans le trafic roulant ou immobilisé sur des routes publiques. Aucune intention ou action d'induire en erreur n'est requise (ATF 143 IV 515 consid. 1.3). L'usage par négligence est punissable (ATF 143 IV 515 consid. 1.1). 3.1.2. En l’espèce, le MP dépose un appel joint, sollicitant la requalification de l’infraction à l’art. 147 ch. 1 al. 3 OAC en infraction à l’art. 97 al. 1 let. f LCR. La recevabilité de cet appel joint semble a priori douteuse, dès lors que le MP n’a pas participé - et fait valoir ses conclusions - en procédure de première instance, ce qu’il aurait pu faire, en dessaisissant le SDC à son profit, s’il estimait qu’un délit avait été commis (art. 11 al. 4 de la loi d’application du code pénal suisse et d’autres lois fédérales en matière pénale [LaCP]. Une requalification au stade de l’appel, sans évocation par le MP avant le jugement, reviendrait à vider de sa substance le principe du double degré de juridiction.</w:t>
      </w:r>
    </w:p>
    <w:p>
      <w:r>
        <w:t>- 12/20 - P/22132/2019 En tout état de cause, l’appel joint du MP doit être rejeté, les plaques utilisées par l’appelant ne pouvant être considérées comme falsifiées ou contrefaites. En effet, si lesdites plaques ne mentionnent pas le signe du drapeau européen, le « F » pour désigner la France ou le numéro du département, elles comportent toutefois le numéro d’immatriculation correct du véhicule (« 1______ ») délivré par la France, selon le certificat d’immatriculation, le message véhiculé par la plaque n’étant en ce sens pas modifié. 3.2.1. Lorsque l'appréciation des preuves et la constatation des faits sont critiquées en référence au principe in dubio pro reo, celui-ci n'a pas de portée plus large que l'interdiction de l'arbitraire (ATF 138 V 74 consid. 7 p. 82). Une décision n'est pas arbitraire du seul fait qu'elle apparaît discutable ou même critiquable; il faut qu'elle soit manifestement insoutenable, et cela non seulement dans sa motivation mais aussi dans son résultat (ATF 142 II 369 consid. 4.3).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3.2.2. Est puni d’une amende quiconque conduit un véhicule automobile avec ou sans remorque sans le permis de circulation ou les plaques de contrôle requis (art. 96 al. 1 let. a LCR). Sous l’ancien art. 96 al. 1 LCR, dont la teneur n’a que peu changé, l’infraction consistait en le fait de circuler aux commandes d’un véhicule soumis à l’obligation d’être au bénéfice d’un permis de circulation ou de plaques de contrôle. Pour le permis, ce n’est pas le document, mais l’existence de la décision exécutoire d’octroi ou de retrait rendue par l’autorité qui est déterminante, tandis que pour les plaques, le simple fait que celles-ci ne soient pas toutes apposées sur le véhicule, quand bien même elles seraient simplement perdues ou oubliées, suffit pour que l’infraction soit consommée (JEANNERET, op.cit., N 14 ad art. 96). 3.2.3. Selon l'art. 147 ch. 1 al. 3 OAC celui qui aura conduit un véhicule étranger non muni du signe distinctif du pays d'immatriculation sera puni de l'amende. 3.2.4. L'art. 99 al. 1 let. b LCR punit de l'amende quiconque conduit un véhicule sans être porteur des permis ou des autorisations requis. A teneur de l'art. 10 al. 4 LCR, les conducteurs devront toujours être porteurs de leurs permis et les présenteront, sur demande, aux organes chargés du contrôle. 3.2.5. En droit français, selon les art. 8 et suivants de l’Arrêté ministériel du 9 février 2009 fixant les caractéristiques et le mode de pose des plaques d’immatriculation des véhicules, les plaques d’immatriculation doivent comporter le symbole européen complété de la let. F (art. 8 al. 1), sur fond bleu rétroréfléchissant à l’extrémité</w:t>
      </w:r>
    </w:p>
    <w:p>
      <w:r>
        <w:t>- 13/20 - P/22132/2019 gauche (art. 8 al. 2), ainsi que le logo officiel d’une région et le numéro d’un département (art. 9 al. 1), et ce à l’extrémité droite de la plaque (art. 9 al. 3). Les permis de conduire sont délivrés par le Préfet du Département de résidence (art. 1 ch. II et art. 7 ch. I de l’arrêté ministériel du 20 avril 2012 fixant les conditions d’établissement, de délivrance et de validité du permis de conduire). 3.2.6.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3.2.7.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3.3.1. En l’espèce, et comme déjà précisé (consid. 2.2.1 et 2.2.2), tous les arguments nouveaux de l’appelant, liés au dépôt de nouvelles pièces ne seront pas examinés, étant irrecevables, l’appel principal portant uniquement sur une contravention. S’agissant des faits, et pour les même raisons, l’appel principal est limité à la question de l’arbitraire. Or, il n’était à l’évidence pas arbitraire pour le TP de considérer qu’une association, bien qu’inscrite au Répertoire national idoine, n’était pas habilitée à s’attribuer des prérogatives réservées aux autorités publiques et que les plaques d’immatriculation et permis ainsi délivrés n’acquéraient pas un caractère officiel. L’inscription de l’association précitée dans un registre n’est en outre pas propre à démontrer que la France lui aurait délégué ces compétences, étant encore précisé que l’association elle-même ne mentionne pas la « compétence » de délivrer des plaques d’immatriculation dans son « objet ».</w:t>
      </w:r>
    </w:p>
    <w:p>
      <w:r>
        <w:t>- 14/20 - P/22132/2019 L’appelant ne peut par ailleurs se prévaloir d’une erreur sur les faits ou sur l’illicéité. En effet, il semble évident pour tout en chacun que des documents officiels tels que des plaques d’immatriculation ou un permis de conduire ne peuvent être délivrés par une association non-étatique et être présentés en guise de documents officiels pour se légitimer lors d’un contrôle de police. De même, et malgré ses convictions, l’appelant ne peut sérieusement prétendre avoir pu être persuadé que la B______ était un Etat « indépendant et souverain » qui n’était pas rattaché à la France. Quand bien-même l’appelant aurait eu un doute au sujet de la validité de ses plaques et de son permis de conduire, il lui appartenait de se renseigner auprès des autorités suisses pour s’assurer de la licéité de ses agissements. Le document émanant de « l’Etat-major de la gendarmerie genevoise » du ______ 1996, déposé en première instance ne lui est à ce sujet d’aucun secours, celui-ci datant d’il y a plus de 20 ans et ayant été adressé à la « LIGUE B______ » qui n’est pas la H______. Ce courrier précise par ailleurs clairement que les véhicules doivent respecter les conditions posées à l’art. 114 al. 1 et 4 OAC, à savoir être admis à circuler dans le pays d’immatriculation et être munis du signe distinctif de l’Etat d’immatriculation, ce qui n’était de toute évidence pas le cas en l’espèce. L’extrait du jugement correctionnel de la Cour d’Appel de D______ n’est pas plus pertinent, celui-ci mentionnant seulement qu’il convient de relaxer une personne ayant utilisé des documents de l’« Etat de B______ » sans motivation précise, l’arrêt précisant seulement que cela « ressort des éléments du dossier et des débats ». Quant au grief selon lequel le premier juge avait mentionné à tort l’art. 93 LCR dans son jugement, il n’est pas relevant, dès lors que l’appelant n’a au final pas été condamné pour une infraction à cette disposition. 3.3.2. Il est ainsi établi que l’appelant circulait avec des plaques non-officielles, qui ne comportaient pas les symboles et signes distinctifs (let. F, drapeau européen et numéro du département) exigés par la loi. C’est ainsi à juste titre que le TP l’a reconnu coupable d’infraction aux art. 96 al. 1 LCR et 147 ch. 1 al. 3 OAC. Il en va de même pour le permis de conduire « B______ » de l’appelant, qui n’est pas valable, faute d’avoir été délivré par les autorités compétentes. Celui-ci ne disposant pas, au moment de son arrestation, de son permis de conduire français, c’est également à juste titre que le TP l’a reconnu coupable d’infraction à l’art. 99 al. 1 let. b LCR.</w:t>
      </w:r>
    </w:p>
    <w:p>
      <w:r>
        <w:rPr>
          <w:b/>
        </w:rPr>
        <w:t>E. 4.1</w:t>
      </w:r>
    </w:p>
    <w:p>
      <w:r>
        <w:t>Les infractions aux art. 96 al. 1 et 99 LCR, ainsi qu’à l’art. 147 OAC sont passibles d’une amende.</w:t>
      </w:r>
    </w:p>
    <w:p>
      <w:r>
        <w:rPr>
          <w:b/>
        </w:rPr>
        <w:t>E. 4.2</w:t>
      </w:r>
    </w:p>
    <w:p>
      <w:r>
        <w:t>Au sens de l’art. 100 al. 1 deuxième phrase LCR, dans les cas de très peu de gravité, le prévenu sera exempté de toute peine. L’art. 52 CP, qui prévoit que l’auteur est exempté de peine si sa culpabilité et les conséquences de son acte sont de peu de gravité, s’applique aussi aux infractions</w:t>
      </w:r>
    </w:p>
    <w:p>
      <w:r>
        <w:t>- 15/20 - P/22132/2019 routières par le renvoi de l’art. 333 al. 1 CP. La clause générale de l’art. 52 CP englobe toutefois systématiquement l’art. 100 al. 1 2ème phrase LCR pour les infractions routières et en élargit même la portée, dans la mesure où une faute de très peu de gravité constitue nécessairement une culpabilité de peu d’importance, alors que l’inverse n’est pas vrai (BUSSY/RUSCONI et al., Code suisse de la loi sur la circulation routière commenté, 4ème éd. Bâle 2015, N 2.2 ad art. 100). L'exemption de peine au sens de l’art. 52 CP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FF 1999 p. 1871).</w:t>
      </w:r>
    </w:p>
    <w:p>
      <w:r>
        <w:rPr>
          <w:b/>
        </w:rPr>
        <w:t>E. 4.3</w:t>
      </w:r>
    </w:p>
    <w:p>
      <w:r>
        <w:t>En l’espèce, le comportement de l’appelant ne peut être qualifié de « très peu de gravité » au sens des art. 100 LCR ou 52 CP, celui-ci ayant sciemment circulé à bord de son véhicule en l’absence de plaques d’immatriculation et de permis de conduire valable, de sorte qu’il ne sera pas fait application de ces dispositions. Le montant de CHF 220.- d’amende retenu par le TP sera confirmé, ne souffrant aucune critique (compte tenu notamment du concours entre les infractions et de la situation financière de l’appelant), et n’étant au demeurant pas en lui-même contesté par l’appelant. La peine privative de liberté de substitution de deux jours sera également confirmée, l’appel principal étant intégralement rejeté.</w:t>
      </w:r>
    </w:p>
    <w:p>
      <w:r>
        <w:rPr>
          <w:b/>
        </w:rPr>
        <w:t>E. 5.1</w:t>
      </w:r>
    </w:p>
    <w:p>
      <w:r>
        <w:t>Tant l’appelant que le MP succombent s’agissant de leur appel et appel joint. L’appelant supportera les deux tiers des frais de la procédure d’appel, comprenant un émolument de CHF 1'500.- (art. 428 CPP et 14 al. 1 let. e du règlement fixant le tarif des frais en matière pénale du 22 décembre 2010 [RTFMP - E 4 10.03]), le solde étant mis à la charge de l’Etat. La mise à sa charge des frais de procédure de première instance sera également confirmée (art. 426 CPP).</w:t>
      </w:r>
    </w:p>
    <w:p>
      <w:r>
        <w:rPr>
          <w:b/>
        </w:rPr>
        <w:t>E. 6.1</w:t>
      </w:r>
    </w:p>
    <w:p>
      <w:r>
        <w:t>Les indemnités relatives à la procédure d’appel sont régies par les art. 429 à 434 CPP (art. 436 al. 1 CPP). Les honoraires d'avocat doivent être proportionnés (N. SCHMID, Schweizerische Strafprozessordnung : Praxiskommentar, 2e éd., Zurich 2013, n. 7 ad art. 429).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138 IV 197, consid. 2.3.4).</w:t>
      </w:r>
    </w:p>
    <w:p>
      <w:r>
        <w:t>- 16/20 - P/22132/2019 La Cour de justice retient en principe un tarif horaire entre CHF 400.- et CHF 450.- pour un chef d'étude (arrêts du Tribunal fédéral 2C_725/2010 du 31 octobre 2011 consid. 3 et 2C_25/2008 du 18 juin 2008 consid. 3).</w:t>
      </w:r>
    </w:p>
    <w:p>
      <w:r>
        <w:rPr>
          <w:b/>
        </w:rPr>
        <w:t>E. 6.2</w:t>
      </w:r>
    </w:p>
    <w:p>
      <w:r>
        <w:t>En l'espèce, A______ succombe s’agissant de son appel, pour lequel il n’aura droit à aucune indemnité. Il obtient toutefois gain de cause s’agissant de l’appel joint, qui est rejeté, ouvrant son droit à une indemnisation pour ce volet de la procédure. Le temps consacré par le conseil de l’appelant à la procédure (et notamment au traitement de l’appel joint du MP), de même que le volume de ses écritures est excessif au regard de la nature, de l'importance et de la complexité limitées de la cause. La CPAR estime que le temps consacré à l’étude de l’appel joint du MP, à de brèves recherches juridiques et à la rédaction d’un mémoire de réponse motivé n'aurait pas dû dépasser trois heures. Une indemnité de CHF 1'453.95 correspondant à trois heures d'activité à CHF 450.-, TVA à 7,7% incluse, sera ainsi accordée à l'appelant pour les dépenses obligatoires occasionnées par la procédure d’appel. Conformément à l'art. 442 al. 4 CPP, cette indemnité sera compensée, à due concurrence, avec la part des frais de procédure mis à sa charge (ATF 143 IV 293 consid. 1). * * * * *</w:t>
      </w:r>
    </w:p>
    <w:p>
      <w:r>
        <w:t>- 17/20 - P/22132/2019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