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AARP/300/2025 vom 22. August 2025</w:t>
      </w:r>
    </w:p>
    <w:p>
      <w:r>
        <w:t>GE Cour de justice, 2025-08-22, FR</w:t>
      </w:r>
    </w:p>
    <w:p>
      <w:r>
        <w:rPr>
          <w:b/>
        </w:rPr>
        <w:t xml:space="preserve">Quelle: </w:t>
      </w:r>
      <w:r>
        <w:t>https://mcp.opencaselaw.ch/entscheid/ge_gerichte_AARP_300_2025</w:t>
      </w:r>
    </w:p>
    <w:p>
      <w:r>
        <w:t>FR: GE_GERICHTE AARP/300/2025 du 22 août 2025</w:t>
      </w:r>
    </w:p>
    <w:p>
      <w:r>
        <w:t>IT: GE_GERICHTE AARP/300/2025 del 22 agosto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Conformément à l'art. 389 al. 1 CPP, la procédure de recours se fonde sur les preuves administrées pendant la procédure préliminaire et la procédure de première instance. Par exception, l'art. 389 al. 2 CPP prévoit que l'administration de ces preuves est répétée si les dispositions en matière de preuves ont été enfreintes (let. a), si elle était incomplète (let. b) ou si les pièces y relatives ne semblent pas fiables (al. 3). L'autorité d'appel administre en sus les preuves complémentaires nécessaires au traitement de l'appel lui-même (art. 389 al. 3 CPP).</w:t>
      </w:r>
    </w:p>
    <w:p>
      <w:r>
        <w:t>- 12/22 - P/20457/2018 Il n'y a pas lieu d'administrer des preuves sur des faits non pertinents, notoires, connus de l'autorité ou déjà suffisamment prouvés (art. 139 al. 2 CPP). La juridiction d'appel peut ainsi refuser des preuves nouvelles lorsqu'une administration anticipée de ces preuves démontre qu'elles ne seront pas de nature à modifier le résultat de celles déjà administrées (arrêts du Tribunal fédéral 7B_543/2023 du 5 novembre 2024 consid. 2.2.2 ; 6B_1317/2023 du 31 octobre 2024 consid. 1.2 ; 6B_1070/2023 du 21 août 2024 consid. 1.1.1 ; 6B_965/2023 du 5 février 2024 consid. 1.1).</w:t>
      </w:r>
    </w:p>
    <w:p>
      <w:r>
        <w:rPr>
          <w:b/>
        </w:rPr>
        <w:t>E. 2.2</w:t>
      </w:r>
    </w:p>
    <w:p>
      <w:r>
        <w:t>En l'espèce, les réquisitions de preuve formulées par l'appelant, dans sa déclaration d'appel, ont été rejetées par courrier du 21 février 2025 de la direction de la procédure, au motif qu'aucune des hypothèses posées par l'art. 389 CPP n'était réalisée. L'appelant a réitéré ses réquisitions dans son mémoire d'appel motivé, sollicitant à nouveau l'audition de M______, N______, O______, P______, Q______ et F______, n'expliquant toutefois pas en quoi ces témoignages seraient nécessaires au traitement de l'appel. La Cour relève que F______ a déjà été entendu à plusieurs reprises et de manière contradictoire. Il n'est pas nécessaire de l'entendre à nouveau sur les mêmes évènements. En outre, les autres personnes citées n'ont pas été témoins directs des faits litigieux et la Cour de céans dispose de suffisamment d'éléments au dossier pour lui permettre de se prononcer sur les faits soumis à son appréciation. Ces auditions n'étant pas nécessaires au traitement de l'appel, les réquisitions de preuve formulées par l'appelant seront rejetées.</w:t>
      </w:r>
    </w:p>
    <w:p>
      <w:r>
        <w:rPr>
          <w:b/>
        </w:rPr>
        <w:t>E. 3.1</w:t>
      </w:r>
    </w:p>
    <w:p>
      <w:r>
        <w:t>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w:t>
      </w:r>
    </w:p>
    <w:p>
      <w:r>
        <w:t>- 13/22 - P/20457/2018 et irréductibles, c'est-à-dire de doutes qui s'imposent à l'esprit en fonction de la situation objective (ATF 144 IV 345 consid. 2.2.3.3).</w:t>
      </w:r>
    </w:p>
    <w:p>
      <w:r>
        <w:rPr>
          <w:b/>
        </w:rPr>
        <w:t>E. 3.2</w:t>
      </w:r>
    </w:p>
    <w:p>
      <w:r>
        <w:t>L'art. 125 al. 1 CP punit quiconque, par négligence, fait subir à une personne une atteinte à l'intégrité corporelle ou à la santé. L'auteur est poursuivi d'office si la lésion est grave (al. 2).</w:t>
      </w:r>
    </w:p>
    <w:p>
      <w:r>
        <w:rPr>
          <w:b/>
        </w:rPr>
        <w:t>E. 3.3</w:t>
      </w:r>
    </w:p>
    <w:p>
      <w:r>
        <w:t>Deux conditions doivent être remplies pour qu'il y ait négligence (cf. art. 12 al. 3 CP).</w:t>
      </w:r>
    </w:p>
    <w:p>
      <w:r>
        <w:rPr>
          <w:b/>
        </w:rPr>
        <w:t>E. 3.3.1</w:t>
      </w:r>
    </w:p>
    <w:p>
      <w:r>
        <w:t>En premier lieu, il faut que l'auteur ait violé les règles de prudence, c'est-à-dire le devoir général de diligence institué par la loi pénale qui interdit de mettre en danger les biens d'autrui pénalement protégés contre les atteintes involontaires.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148 IV 39 consid. 2.3.3; 145 IV 154 consid. 2.1; 143 IV 138 consid. 2.1).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145 IV 154 consid. 2.1; 134 IV 255 consid. 4.2.3). L'étendue du devoir de diligence doit s'apprécier en fonction de la situation personnelle de l'auteur, c'est-à-dire de ses connaissances et de ses capacités (ATF 135 IV 56 consid. 2.1 ; arrêt du Tribunal fédéral 6B_1190/2023 du 4 septembre 2024 consid. 4.1.1).</w:t>
      </w:r>
    </w:p>
    <w:p>
      <w:r>
        <w:rPr>
          <w:b/>
        </w:rPr>
        <w:t>E. 3.3.2</w:t>
      </w:r>
    </w:p>
    <w:p>
      <w:r>
        <w:t>En second lieu, la violation du devoir de prudence doit être fautive, c'est-à-dire qu'il faut pouvoir reprocher à l'auteur de n'avoir pas déployé l'attention et les efforts qu'on pouvait attendre de lui pour se conformer à son devoir de prudence (ATF 145 IV 154 consid. 2.1; 135 IV 56 consid. 2.1).</w:t>
      </w:r>
    </w:p>
    <w:p>
      <w:r>
        <w:rPr>
          <w:b/>
        </w:rPr>
        <w:t>E. 3.4</w:t>
      </w:r>
    </w:p>
    <w:p>
      <w:r>
        <w:t>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143 IV 138 consid. 2.1 ; 135 IV 56 consid. 2.1; 134 IV 255 consid. 4.2.3).</w:t>
      </w:r>
    </w:p>
    <w:p>
      <w:r>
        <w:t>En matière d'installations électriques, les prescriptions légales relèvent principalement de la LIE ainsi que de ses ordonnances, lesquelles sont strictement liées à la nécessité de garantir la sécurité des installations qui constituent un danger pour les personnes ou les choses (arrêt du Tribunal fédéral 6B_315/2016 du 1er novembre 2016 consid. 4.2.).</w:t>
      </w:r>
    </w:p>
    <w:p>
      <w:r>
        <w:t>- 14/22 - P/20457/2018 Le but de l'ordonnance sur les installations électriques à basse tension est de fixer les modalités à la prévention des dangers et dommages causés par les installations électriques (cf. art. 3 LIE). Sous le libellé "exigences fondamentales concernant la sécurité", l'art. 3 al. 1 OIBT prévoit que les installations électriques doivent être établies, modifiées, entretenues et contrôlées selon les règles techniques reconnues. Elles ne doivent mettre en danger ni les personnes ni les choses lorsque leur exploitation et leur utilisation sont correctes et si possible, lorsque les règles à ce sujet sont enfreintes de manière prévisible, ou encore en cas de dérangement prévisible. Celui qui établit, modifie ou entretient des installations électriques et celui qui veut y raccorder à demeure des matériels électriques fixes ou qui débranche, modifie ou entretient de tels raccordements doit être titulaire d’une autorisation d’installer accordée par l'ESTI (art. 20 al. 1 LIE et 6 OIBT). Il incombe au propriétaire ou au représentant désigné par lui de veiller à ce que l’installation électrique réponde en tout temps aux exigences des art. 3 et 4 et de faire réparer les défauts sans délai (art. 5 al. 3 OIBT).</w:t>
      </w:r>
    </w:p>
    <w:p>
      <w:r>
        <w:rPr>
          <w:b/>
        </w:rPr>
        <w:t>E. 3.5</w:t>
      </w:r>
    </w:p>
    <w:p>
      <w:r>
        <w:t>Un comportement constitutif d'une négligence consiste en général en un comportement actif, mais peut aussi avoir trait à 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notamment en vertu de la loi, d'un contrat, d'une communauté de risque librement consentie ou de la création d'un risque (art. 11 al. 2 let. a à d CP). N'importe quelle obligation juridique ne suffit pas ;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3 CP ; ATF 148 IV 39 consid. 2.3.2 ; 141 IV 249 consid. 1.1).</w:t>
      </w:r>
    </w:p>
    <w:p>
      <w:r>
        <w:rPr>
          <w:b/>
        </w:rPr>
        <w:t>E. 3.6</w:t>
      </w:r>
    </w:p>
    <w:p>
      <w:r>
        <w:t>Il faut qu'il existe un rapport de causalité naturelle et adéquate entre la violation fautive du devoir de prudence et le dommage occasionné à la victime.</w:t>
      </w:r>
    </w:p>
    <w:p>
      <w:r>
        <w:rPr>
          <w:b/>
        </w:rPr>
        <w:t>E. 3.6.1</w:t>
      </w:r>
    </w:p>
    <w:p>
      <w:r>
        <w:t>Un comportement est la cause naturelle d'un résultat s'il en constitue l'une des conditions sine qua non, c'est-à-dire si, sans lui, le résultat ne se serait pas produit ou du moins pas de la même manière; il n'est pas nécessaire que l'événement considéré soit la cause unique ou immédiate du résultat (ATF 143 III 242 consid. 3.7 ; 142 IV 237 consid. 1.5.1 ; 139 V 176 consid. 8.4.1).</w:t>
      </w:r>
    </w:p>
    <w:p>
      <w:r>
        <w:rPr>
          <w:b/>
        </w:rPr>
        <w:t>E. 3.6.2</w:t>
      </w:r>
    </w:p>
    <w:p>
      <w:r>
        <w:t>Lorsque la causalité naturelle est établie, il faut encore rechercher si le comportement incriminé est la cause adéquate du résultat. Tel est le cas lorsque,</w:t>
      </w:r>
    </w:p>
    <w:p>
      <w:r>
        <w:t>- 15/22 - P/20457/2018 d'après le cours ordinaire des choses et l'expérience de la vie, le comportement était propre à entraîner un résultat du genre de celui qui s'est produit (ATF 138 IV 57 consid. 4.1.3). La causalité adéquate dépend d'une probabilité objective : il faut se demander si un "tiers neutre", voyant l'auteur agir dans les circonstances où il a agi, pourrait prédire que le comportement considéré aurait très vraisemblablement les conséquences qu'il a effectivement eues, quand bien même il ne pourrait pas prévoir le déroulement de la chaîne causale dans ses moindres détails (ATF 122 IV 145 consid. 3b/aa). L'acte doit être propre, selon une appréciation objective, à entraîner un tel résultat ou à en favoriser l'avènement, de telle sorte que la raison conduit naturellement à imputer le résultat à la commission de l'acte (ATF 131 IV 145 consid. 5.1). Pour qu'une cause soit adéquate, il n'est pas nécessaire que le résultat se produise régulièrement ou fréquemment ; une telle conséquence doit demeurer dans le champ raisonnable des possibilités objectivement prévisibles (ATF 143 III 242 consid. 3.7 ; 139 V 176 consid. 8.4.2 ; 119 Ib 334 consid. 5b). La causalité adéquate sera admise même si le comportement de l'auteur n'est pas la cause directe ou unique du résultat. En effet, lorsque plusieurs individus ont, indépendamment les uns des autres, contribué par leur négligence à créer un danger dont le résultat incriminé représente la concrétisation, chacun d'entre eux peut être considéré comme auteur de l'infraction (auteur dit juxtaposé), que son comportement représente la cause directe et immédiate du résultat ou qu'il l'ait "seulement" rendu possible ou favorisé (arrêts du Tribunal fédéral 6B_1333/2022 du 2 octobre 2023 consid. 2.2.5 et 6B_491/2021 du 23 mai 2022 consid. 2.1.2). La causalité adéquatre peut toutefois être exclue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 131 IV 145 consid. 5.2).</w:t>
      </w:r>
    </w:p>
    <w:p>
      <w:r>
        <w:rPr>
          <w:b/>
        </w:rPr>
        <w:t>E. 3.6.3</w:t>
      </w:r>
    </w:p>
    <w:p>
      <w:r>
        <w:t>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L'existence de cette causalité dite hypothétique suppose une très grande vraisemblance ; autrement dit, elle n'est réalisée que lorsque l'acte attendu ne peut pas être inséré intellectuellement dans le raisonnement sans en exclure, très</w:t>
      </w:r>
    </w:p>
    <w:p>
      <w:r>
        <w:t>- 16/22 - P/20457/2018 vraisemblablement, le résultat (ATF 116 IV 182 consid. 4a ; arrêt du Tribunal fédéral 6B_177/2017 du 6 septembre 2017 consid. 4.1).</w:t>
      </w:r>
    </w:p>
    <w:p>
      <w:r>
        <w:rPr>
          <w:b/>
        </w:rPr>
        <w:t>E. 3.7</w:t>
      </w:r>
    </w:p>
    <w:p>
      <w:r>
        <w:t>En l'espèce, il est établi, ne serait-ce qu'en raison des tragiques conséquences de l'accident, que le dispositif électrique artisanal, dont les jardiniers de feue H______ avaient équipé le poulailler, était objectivement très dangereux, puisque le courant y circulait, non sous la forme de décharges impulsionnelles de bas ampérage, comme pour un "parc à vaches", mais de façon continue à 230 V – causant une tétanie et empêchant ainsi de lâcher le fil par réflexe – et qu'il était, par ailleurs, dépourvu de toute protection contre le contact corporel direct. L'expertise du 8 septembre 2022 a permis d'écarter tout doute quant à la qualification de ce dispositif, excluant qu'il puisse s'agir d'une installation mobile et confirmant son caractère d'installation électrique fixe, au sens de l'art. 2 al. 1 let. a OIBT, soumise en tant que telle à la réglementation de cette ordonnance.</w:t>
      </w:r>
    </w:p>
    <w:p>
      <w:r>
        <w:t>L'appelant ne conteste pas avoir eu, à tout le moins à partir de 2014, en sa qualité de représentant de sa mère, une position de garant dans la gestion de la propriété résultant de l'art. 5 OIBT, laquelle impose à l'exploitant de veiller en tout temps à la conformité de son installation électrique. Une telle position serait au demeurant indéniable au regard de la jurisprudence (cf. l'arrêt 6S.206/2006 du 20 octobre 2006, cité dans l'ACPR/424/2021 du 24 juin 2021, concernant le sous-locataire d'une ancienne baraque de chantier – pourvue d'un tableau électrique d'où était issu un câble de plusieurs mètres qui passait sous un pont, câble qui s'était détérioré au fil du temps et avait entraîné le décès d'une personne l'ayant touché – qui n'avait jamais fait contrôler l'installation électrique litigieuse).</w:t>
      </w:r>
    </w:p>
    <w:p>
      <w:r>
        <w:t>Il a, dans un premier temps, admis avoir eu connaissance de l'installation bricolée par I______ et F______, tant sur le toit que sur le pourtour interne du poulailler, savoir qu'elle était électrifiée et se douter qu'elle "n'était pas aux normes". Ses dénégations subséquentes, de pure circonstance, ne convainquent pas. D'une part, l'on ne voit pas en quoi ses déclarations auraient pu aider F______, dans la mesure où elles n'auraient pas été en mesure d'atténuer sa responsabilité. D'autre part, ainsi que l'a relevé le premier juge, le fil de fer tendu le long de l'espace intérieur était directement noué aux fils électriques dénudés du câble rouge qui se trouvait juste à côté du portail d'accès au poulailler. Ce raccordement bricolé était clairement visible pour quiconque s'approchait du poulailler et prêtait l'attention nécessaire. Le fait que l'appelant a pensé qu'il s'agissait d'un simple fil "destiné à donner un coup", comme pour les vaches, et a ignoré la dangerosité du dispositif ne saurait être suivi, vu qu'il avait l'obligation, en sa qualité de gérant de la propriété depuis 2014, de veiller à ce qu'une installation électrique réponde en tout temps aux exigences fondamentales de sécurité. À la vue de ce montage, qu'il savait électrifié, il aurait dû se poser des</w:t>
      </w:r>
    </w:p>
    <w:p>
      <w:r>
        <w:t>- 17/22 - P/20457/2018 questions et/ou les poser au jardinier pour connaître l'intensité du courant et sa dangerosité. Ce qu'il n'a pas fait.</w:t>
      </w:r>
    </w:p>
    <w:p>
      <w:r>
        <w:t>Il sera dès lors retenu que l'appelant savait, au moment de l'accident, que l'espace intérieur était protégé contre les intrusions des renards par un dispositif électrifié, indépendamment du fait qu'il savait ou non qu'un courant continu de 230 V passait par le fil, situé à proximité immédiate du grillage, qui est un matériau conducteur d'électricité, étant précisé que ce fil se trouvait à une hauteur du sol comprise entre 40 et 80 centimètres, de sorte qu'un jeune enfant nourrissant les poules depuis l'extérieur, se trouvant à hauteur de ce fil électrifié, était susceptible de le toucher accidentellement.</w:t>
      </w:r>
    </w:p>
    <w:p>
      <w:r>
        <w:t>Il ne peut rien tirer non plus du fait qu'il se rendait parfois lui-même dans le poulailler ou laissait sa fille et d'autres enfants y aller. Il ne lui est pas reproché d'avoir intentionnellement – ne serait-ce par dol éventuel – laissé perdurer une situation dangereuse (art. 122 CP), mais uniquement par négligence. L'appelant admet n'avoir jamais fait contrôler précisément l'installation litigieuse, malgré les doutes qu'il a concédé (devant la police) avoir eus, au vu de son caractère très artisanal. C'est précisément ce comportement passif qui lui est reproché, en sa qualité de garant. Il avait le devoir de faire vérifier l'installation pour s'assurer de sa conformité en tout temps.</w:t>
      </w:r>
    </w:p>
    <w:p>
      <w:r>
        <w:t>Il ne saurait se défausser de sa responsabilité au motif que le domaine aurait subi un contrôle périodique quelques années auparavant. En effet, il n'y avait pas assisté et ignorait dès lors tout de la manière dont il s'était déroulé. Il ne pouvait ainsi pas inférer de la seule lecture du rapport relatif au compteur n° 4______ que celui-ci portait également sur l'installation électrique bricolée par les jardiniers, d'autant que ce document n'y faisait absolument aucune allusion. Bien au contraire, conscient du fait que l'installation n'était probablement "pas aux normes", il ne pouvait que conclure, vu l'absence de toute remarque à ce propos, qu'elle avait échappé à K______, dont l'attention n'avait certainement pas été attirée sur le poulailler, dont la construction avait été érigée sans autorisation, et son électrification par le branchement d'une prise standard de 230 V. Sans certitude à ce propos, il lui appartenait de s'assurer de l'innocuité du dispositif, ne serait-ce qu'en soumettant spécifiquement l'installation à la vérification d'un professionnel. Ce qu'il n'a pas fait. Ainsi, en omettant toutes les vérifications, indépendamment du fait qu'il savait ou non qu'un courant continu de 230 V passait par le fil, l'appelant a violé les règles de diligence et de prudence qu'il devait observer en tant que garant de l'ensemble du domaine.</w:t>
      </w:r>
    </w:p>
    <w:p>
      <w:r>
        <w:t>- 18/22 - P/20457/2018 Or, il ne fait aucun doute que si un contrôle de l'installation avait été effectué par un homme du métier, sa dangerosité ne lui aurait pas échappé, J______, K______ et l'expert de l'ESTI ayant été unanimes à ce propos. Le lien de causalité, tant naturelle qu'adéquate, entre l'omission et les lésions corporelles graves subies par D______ est par conséquent donné. Une éventuelle faute concomitante de K______ n'est pas de nature à le rompre, la nature et la configuration des lieux et du dispositif ne rendant pas son absence de contrôle de l'installation si extraordinaire que l'on ne pouvait pas s'y attendre. Au vu de ce qui précède, la culpabilité de l'appelant du chef de lésions corporelles graves par négligence doit être confirmée. L'appel sera dès lors rejeté sur ce point.</w:t>
      </w:r>
    </w:p>
    <w:p>
      <w:r>
        <w:rPr>
          <w:b/>
        </w:rPr>
        <w:t>E. 4.1</w:t>
      </w:r>
    </w:p>
    <w:p>
      <w:r>
        <w:t>L'infraction de lésions corporelles par négligence est punie d'une peine privative de liberté de trois ans au plus ou d'une peine pécuniaire.</w:t>
      </w:r>
    </w:p>
    <w:p>
      <w:r>
        <w:rPr>
          <w:b/>
        </w:rPr>
        <w:t>E. 4.2</w:t>
      </w:r>
    </w:p>
    <w:p>
      <w:r>
        <w:t>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Dans les cas où la loi prévoit des sanctions alternatives et équivalentes en termes de compensation de la dette, il convient, en règle générale, de choisir celles qui interfèrent moins fortement avec la liberté personnelle de la personne concernée ou qui la touchent moins gravement (ATF 134 IV 82 consid. 4.1). Conformément au principe de la proportionnalité, il y a ainsi lieu d'accorder en principe la priorité à la peine</w:t>
      </w:r>
    </w:p>
    <w:p>
      <w:r>
        <w:t>- 19/22 - P/20457/2018 pécuniaire, qui, en tant qu'elle porte atteinte au patrimoine de l'auteur, constitue une sanction moins lourde qu'une peine privative de liberté (ATF 135 IV 113 consid. 2.6).</w:t>
      </w:r>
    </w:p>
    <w:p>
      <w:r>
        <w:rPr>
          <w:b/>
        </w:rPr>
        <w:t>E. 4.3</w:t>
      </w:r>
    </w:p>
    <w:p>
      <w:r>
        <w:t>Selon l'art. 34 al. 1 CP, la peine pécuniaire est de trois jours-amende au moins et ne peut excéder 180 jours-amende. Le juge fixe leur nombre en fonction de la culpabilité de l'auteur. En règle générale, le jour-amende est de CHF 30.- au moins et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4.4</w:t>
      </w:r>
    </w:p>
    <w:p>
      <w:r>
        <w:t>Le juge suspend en règle générale l'exécution d'une peine pécuniaire ou d'une peine privative de liberté de deux ans au plus lorsqu'une peine ferme ne paraît pas nécessaire pour détourner l'auteur d'autres crimes ou délits (art. 42 al. 1 CP).</w:t>
      </w:r>
    </w:p>
    <w:p>
      <w:r>
        <w:rPr>
          <w:b/>
        </w:rPr>
        <w:t>E. 4.5</w:t>
      </w:r>
    </w:p>
    <w:p>
      <w:r>
        <w:t>En l'occurrence, l'appelant ne remet pas en cause la peine prononcée, au-delà de l'acquittement plaidé. Le genre de peine fixé par le premier juge, au demeurant acquis à l'appelant en vertu de l'interdiction de la reformatio in pejus, est adéquat. Sa quotité et son montant respectent les critères posés par la loi et la jurisprudence. La peine pécuniaire de 180 jours-amende, à CHF 3'000.- le jour, sera confirmée tout comme le sursis, dont les conditions sont réalisées, étant en toute hypothèse également acquis à l'appelant.</w:t>
      </w:r>
    </w:p>
    <w:p>
      <w:r>
        <w:rPr>
          <w:b/>
        </w:rPr>
        <w:t>E. 5</w:t>
      </w:r>
    </w:p>
    <w:p>
      <w:r>
        <w:t>Dans la mesure où l'appelant ne conclut au déboutement des parties plaignantes de leurs conclusions civiles qu'en tant qu'il conteste sa responsabilité pénale, les points du jugement entrepris concernant celles-ci seront confirmés, vu le verdict de culpabilité et l'adéquation des montants alloués.</w:t>
      </w:r>
    </w:p>
    <w:p>
      <w:r>
        <w:rPr>
          <w:b/>
        </w:rPr>
        <w:t>E. 6</w:t>
      </w:r>
    </w:p>
    <w:p>
      <w:r>
        <w:t>L'appelant, qui succombe, supportera les frais de la procédure envers l'État, comprenant un émolument d'arrêt de CHF 2'000.- (art. 428 CPP).</w:t>
      </w:r>
    </w:p>
    <w:p>
      <w:r>
        <w:rPr>
          <w:b/>
        </w:rPr>
        <w:t>E. 7</w:t>
      </w:r>
    </w:p>
    <w:p>
      <w:r>
        <w:t>Il sera, en conséquence, condamné à indemniser les parties plaignantes pour leurs frais d'avocat pour la procédure d'appel (art. 433 al. 1 et 436 al. 1 CPP), la somme de CHF 2'918.70 TTC articulée à ce titre ne prêtant pas le flanc à la critique. * * * * *</w:t>
      </w:r>
    </w:p>
    <w:p>
      <w:r>
        <w:t>- 20/22 - P/20457/2018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