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AARP/300/2024 vom 19. August 2024</w:t>
      </w:r>
    </w:p>
    <w:p>
      <w:r>
        <w:t>GE Cour de justice, 2024-08-19, FR</w:t>
      </w:r>
    </w:p>
    <w:p>
      <w:r>
        <w:rPr>
          <w:b/>
        </w:rPr>
        <w:t xml:space="preserve">Quelle: </w:t>
      </w:r>
      <w:r>
        <w:t>https://mcp.opencaselaw.ch/entscheid/ge_gerichte_AARP_300_2024</w:t>
      </w:r>
    </w:p>
    <w:p>
      <w:r>
        <w:t>FR: GE_GERICHTE AARP/300/2024 du 19 août 2024</w:t>
      </w:r>
    </w:p>
    <w:p>
      <w:r>
        <w:t>IT: GE_GERICHTE AARP/300/2024 del 19 agosto 2024</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- 8/29 - P/23793/2017</w:t>
      </w:r>
    </w:p>
    <w:p>
      <w:r>
        <w:rPr>
          <w:b/>
        </w:rPr>
        <w:t>E. 1.2</w:t>
      </w:r>
    </w:p>
    <w:p>
      <w:r>
        <w:t>Jusqu’au 31 décembre 2023, l’avocat qui contestait son indemnisation devait former un recours devant la CPR, aux conditions de l’art. 393 CPP. Toutefois, lorsque la partie défendue par cet avocat formait également appel, le recours devait être traité par la juridiction d’appel (ATF 140 IV 213 consid. 1.4 ; ATF 139 IV 199 consid. 5.6).</w:t>
      </w:r>
    </w:p>
    <w:p>
      <w:r>
        <w:t>En l’occurrence, le défenseur d’office a rédigé une écriture intitulée « appel » et adressée à la CPAR. Cette écriture répond aux exigences de l’art. 393 CPP, et la juridiction de céans est compétente pour traiter de ce recours au vu de l’appel formé en parallèle. Le recours est donc également recevable.</w:t>
      </w:r>
    </w:p>
    <w:p>
      <w:r>
        <w:rPr>
          <w:b/>
        </w:rPr>
        <w:t>E. 1.3</w:t>
      </w:r>
    </w:p>
    <w:p>
      <w:r>
        <w:t>L’avocat recourant a sollicité d’être autorisé à consulter la « décision du GAJ », à compléter son recours et pouvoir répliquer. Or, il n’existe pas de décision du GAJ, lequel fournit simplement une aide à la décision du premier juge : la décision d’indemnisation est prise et motivée dans le jugement entrepris. Il n’y a donc pas à ordonner un tel apport, en l’absence de décision et de pertinence de cette conclusion.</w:t>
      </w:r>
    </w:p>
    <w:p>
      <w:r>
        <w:t>Un complément au recours n’entre pas en ligne de compte, le délai de l’art. 393 CPP n’étant pas prolongeable (art. 89 al. 1 CPP). Le MP s’en étant rapporté à justice et une réponse du TP n’ayant pas été requise, il n’y a pas place pour une réplique.</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2.2</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Selon l’art. 123 ch. 1 CP, dans sa teneur en vigueur au moment des faits, quiconque, intentionnellement, fait subir à une personne une autre atteinte à l’intégrité corporelle ou à la santé est puni sur plainte d’une peine privative de liberté de trois ans au plus ou d’une peine pécuniaire. Dans les cas de peu de gravité, le juge pourra atténuer la peine (art. 48a).</w:t>
      </w:r>
    </w:p>
    <w:p>
      <w:r>
        <w:t>- 10/29 - P/23793/2017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w:t>
      </w:r>
    </w:p>
    <w:p>
      <w:r>
        <w:rPr>
          <w:b/>
        </w:rPr>
        <w:t>E. 2.4</w:t>
      </w:r>
    </w:p>
    <w:p>
      <w:r>
        <w:t>Selon l’art. 285 ch. 1 CP, dans sa teneur en vigueur au moment des faits, quiconque,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(art. 285 ch. 1 1ère phrase aCP). L’art. 285 CP réprime deux infractions différentes: la contrainte contre les autorités ou les fonctionnaires et les voies de fait contre ceux-ci (arrêts du Tribunal fédéral 6B_366/2021 du 26 janvier 2022 consid. 3.1 ; 6B_1191/2019 du 4 décembre 2019 consid. 3.1 ; 6B_863/2015 du 15 mars 2016 consid. 1.1).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w:t>
      </w:r>
    </w:p>
    <w:p>
      <w:r>
        <w:t>- 11/29 - P/23793/2017 Tribunal fédéral 6B_257/2010 du 5 octobre 2010 consid. 5.1 ; B. CORBOZ, op. cit., n. 5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L'art. 285 CP n'est pas applicable si l'auteur règle un compte privé avec le fonctionnaire, mais à un moment où celui-ci est en fonction (ATF 110 IV 91 consid. 2).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w:t>
      </w:r>
    </w:p>
    <w:p>
      <w:r>
        <w:rPr>
          <w:b/>
        </w:rPr>
        <w:t>E. 2.5</w:t>
      </w:r>
    </w:p>
    <w:p>
      <w:r>
        <w:t>Selon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Les délits contre l'honneur sont des délits de mise en danger abstrait. Ils sont consommés dès qu'un tiers prend connaissance de la déclaration portant atteinte à l'honneur (ATF 103 IV 22 consid. 7 p. 23 ; arrêts du Tribunal fédéral 6B_491/2013 du 4 février 2014 consid. 5.2.1 et 6B_106/2012 du 26 septembre 2012 consid. 4). Est en principe un tiers au sens des art. 173 CP toute personne autre que l'auteur et l'objet</w:t>
      </w:r>
    </w:p>
    <w:p>
      <w:r>
        <w:t>- 12/29 - P/23793/2017 des propos qui portent atteinte à l'honneur, par exemple l'avocat de l'auteur, les magistrats (ATF 86 IV 209 et références citées ; arrêt du Tribunal fédéral 6B_491/2013 du 4 février 2014 consid. 5.2.1) ou encore les enfants de l'auteur (ATF 96 IV 194 ; arrêt du Tribunal fédéral 6B_491/2013 du 4 février 2013 consid. 5.2.1). La personne dont l'honneur est visé n'a pas à être désignée, il suffit qu'elle soit reconnaissable, respectivement identifiable (ATF 124 IV 262 consid. 2a p. 266 ss ; 117 IV 27 consid. 2c p. 29 ; arrêt du Tribunal fédéral 6B_491/2013 du 4 février 2013 consid. 5.2.1). Il n'est pas nécessaire que plusieurs personnes la reconnaissent. Il suffit que l'un des destinataires de la déclaration le puisse ("un tiers", art. 173 ch. 1 CP ; arrêt du Tribunal fédéral 6B_491/2013 du 4 février 2014 consid. 5.2.1 ; B. CORBOZ, Les infractions en droit suisse, vol. II, 3e éd., Berne 2010, n. 39 ad art. 175 CP). Cette question est examinée en tenant compte non seulement des informations contenues dans la déclaration litigieuse, mais également des circonstances connues ou à disposition du tiers qui la reçoit (ATF 117 IV 27 consid. 2d p. 30 ; 99 IV 148 consid. 1 p. 149 ; arrêts du Tribunal fédéral 6B_491/2013 du 4 février 2014 consid. 5.2.1 ; 6S_504/2005 du 28 février 2006 consid. 1.2 ; 6S_862/2000 du 20 mars 2001 consid. 1b).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 arrêt du Tribunal fédéral 6B_441/2016 du 29 mars 2017 consid. 4.1). Pour apprécier si une déclaration est attentatoire à l'honneur, il faut se fonder non pas sur le sens que lui donne la personne visée, mais sur une interprétation objective selon le sens qu'un destinataire non prévenu doit, dans les circonstances d'espèce, lui attribuer. En matière d'infractions contre l'honneur, les mêmes termes n'ont pas nécessairement la même portée suivant le contexte dans lequel ils sont employés (ATF 148 IV 409 consid. 2.3.2 ; 145 IV 462 consid. 4.2.3 ; 118 IV 248 consid. 2b).</w:t>
      </w:r>
    </w:p>
    <w:p>
      <w:r>
        <w:t>- 13/29 - P/23793/2017 La diffamation suppose une allégation de fait, et non pas un simple jugement de valeur (ATF 137 IV 313 consid. 2.1.2 p. 315 ; 117 IV 27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A ainsi été considéré comme allégation de fait à caractère mixte, constitutive en l’occurrence de calomnie au sens de l’art. 174 CP, le fait de dire de quelqu’un qu’il « adore poignarder les gens dans le dos et obtenir une sorte de plaisir pervers » (arrêt du Tribunal fédéral 6B_395/2009 du 20 octobre 2009). Du point de vue subjectif, il suffit que l'auteur ait eu conscience du caractère attentatoire à l'honneur de ses propos et qu'il les ait néanmoins proférés ; il n'est pas nécessaire qu'il ait eu la volonté de blesser la personne visée (ATF 119 IV 44 consid. 2a p. 47).</w:t>
      </w:r>
    </w:p>
    <w:p>
      <w:r>
        <w:rPr>
          <w:b/>
        </w:rPr>
        <w:t>E. 2.6</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w:t>
      </w:r>
    </w:p>
    <w:p>
      <w:r>
        <w:t>- 14/29 - P/23793/2017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 Zurich 2011, n. 555, p. 189).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6B_6/2017 du 28 février 2018 consid. 4.1 ; 6B_585/2016 du 7 décembre 2016 consid. 3.3), ni le fait de prévoir l'attaque et de s'y préparer, sans toutefois y inciter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(arrêt du Tribunal fédéral 6B_130/2017 du 27 février 2018 consid. 3.1 = SJ 2018 I 385). 2.7.1. En l’espèce, il convient tout d’abord d’établir les faits qui se sont produits le 19 octobre 2017. À cet égard, la CPAR retient que les nombreux témoins entendus ont tous rapporté leur vision des événements, qui a été plus ou moins influencée par leurs propres liens avec les protagonistes, voire leur sympathie ou leur animosité envers l’un ou l’autre. Contrairement à ce qu’a retenu le premier juge, il n’y a</w:t>
      </w:r>
    </w:p>
    <w:p>
      <w:r>
        <w:t>- 15/29 - P/23793/2017 toutefois pas lieu d’écarter l’une ou l’autre déclaration, mais de les pondérer en fonction de ces allégeances plus ou moins reconnaissables. Sur la base de cette analyse, les faits s’établissent comme suit, nonobstant les quelques variations dans les déclarations. L’appelant était énervé le jour des faits ; plusieurs élèves l’ont constaté lors de son entretien téléphonique avec l’intimé, qui avait été contraint de raccrocher pour ce motif. Lorsqu’il s’est présenté à l’école de sa fille, l’appelant était encore dans cet état d’énervement : des élèves ont entendu les éclats de voix dans le couloir. L’enseignant, qui n’avait pas constaté la présence de l’appelant avant de se retrouver face à lui lorsqu’il s’est rendu à la porte de l’établissement, a signifié à son élève qu’elle ne pouvait pas réintégrer la classe sans changer de tenue. L’appelant s’est emporté et a forcé le passage en insérant son pied dans la porte de l’immeuble et en suivant l’intimé jusqu’à la salle de classe, accompagné de sa fille. Arrivé dans sa classe, l’enseignant a voulu fermer la porte (qui s’ouvrait à l’extérieur) derrière lui et l’a tirée ; l’appelant l’a retenue et les parties se sont donc retrouvées de part et d’autre de celle-ci : l’appelant cherchait à maintenir la porte ouverte tandis que l’intimé voulait la fermer. La fille de l’appelant s’est trouvée, pendant un instant, coincée entre la porte et le chambranle, ce dont, dans l’excitation du moment, l’enseignant ne semble pas s’être rendu compte. En tirant la porte à lui, l’appelant a emporté l’intimé, qui tenait la poignée, à l’extérieur de la classe ; celui-ci a alors vraisemblablement fait un geste en direction du prévenu, qui a été perçu par plusieurs élèves comme un coup en direction de celui-ci. L’appelant lui a alors porté plusieurs coups de poing, occasionnant les lésions constatées par les médecins, avant que les élèves ne séparent les protagonistes et que l’appelant ne quitte finalement les lieux. 2.7.2. Sur la base des faits ainsi établis, l’appelant a clairement violé plusieurs règles applicables à toute interaction scolaire (cf. notamment l’art. 16 al. 2 du Règlement de l'enseignement secondaire II et tertiaire B [REST], qui fixe les modalités de contact entre parents en enseignants). Il a interrompu un enseignant dans son activité ; le fait qu’il ait alors été accompagné de sa fille, élève dudit enseignant, n’excuse ni ne justifie ce comportement : au contraire, en sa qualité de parent et responsable légal, il lui appartenait d’amener celle-ci à respecter les règles scolaires. Il ne prétend en particulier pas avoir ignoré la règle vestimentaire à l’origine du renvoi de sa fille, étant relevé que les faits se sont produits alors que les cours avaient commencé depuis plusieurs semaines. Au surplus, si l’appelant entendait contester le bien-fondé de l’interdiction des pulls à capuche, il pouvait le faire par d’autres moyens et surtout à un moment plus opportun, sans déranger l’enseignant dans son cours. L’envoi d’une lettre, reçue la veille, ne justifie pas son irruption à l’école en dehors de tout rendez-vous convenu, en plein déroulement d’un cours. À cet égard, il ne peut être reproché à l’intimé d’être entré en interaction avec l’appelant et sa fille, en sortant de sa classe pour ce faire ; un rappel à la règle entrait dans ses fonctions, ce d’autant plus que son élève, en se présentant à l’extérieur de la classe de façon visible par ses congénères, avait déjà perturbé son cours.</w:t>
      </w:r>
    </w:p>
    <w:p>
      <w:r>
        <w:t>- 16/29 - P/23793/2017 L’appelant ne s’est toutefois pas contenté de cette interruption déplacée. Au contraire, alors que l’enseignant lui avait clairement signifié qu’il n’était pas disposé à interrompre plus longuement son cours pour s’entretenir avec lui, l’appelant l’a poursuivi jusque devant la salle de classe, en élevant la voix et manifestant son mécontentement. Un tel comportement, qui constitue une intrusion dans le cadre scolaire, est à nouveau constitutif d’une violation claire de ses obligations de parent d’élève, et, de surcroît, d’une agression à l’encontre de l’enseignant. En effet, en s’introduisant dans le bâtiment fermé et dont l’accès ne lui était pas autorisé, puis en poursuivant le plaignant dans le couloir tout en élevant la voix à son égard, l’appelant a adopté un comportement agressif et déplacé. Enfin, arrivé devant la classe, le fait de s’opposer à la fermeture de la porte a encore aggravé l’agression puisqu’il a fait physiquement obstacle au travail de l’enseignant, en l’empêchant de fermer la porte de son lieu de travail et donc de reprendre son activité. Dans ces circonstances, l’intimé était parfaitement légitimé à chercher à fermer la porte du local. La présence malencontreuse de la fille du plaignant (qui violait elle-même les règles scolaires en s’imposant dans la salle de classe dont elle était renvoyée) dans le chambranle de la porte, n’a pas été perçue par son enseignant et ne justifie pas la violence dont son père a fait preuve. Il importe ainsi peu que l’intimé ait, ou non, dans ce contexte, porté un coup à l’appelant ou qu’il l’ait saisi par le col, comme décrit par l’un ou l’autre témoin. En effet, dans le contexte de cette altercation, l’intimé était en position de se défendre dès le moment où l’appelant a pénétré sans droit dans les locaux. Celui-ci ayant de surcroît fait usage de la force à l’égard du plaignant, en tirant la porte de la classe pour en empêcher la fermeture, il ne peut se prévaloir des gestes de défense du plaignant pour invoquer la légitime défense à son compte. Au contraire, les coups qu’il a ensuite indubitablement portés à l’intimé constituent la culmination d’une agression qui a débuté dans le couloir de l’établissement scolaire, lorsque l’appelant y a pénétré sans droit et par la force. L’appelant ne met par ailleurs pas sérieusement en doute que les coups qu’il a portés, au vu et au su des élèves présents, sont à l’origine des lésions présentées par l’enseignant, étant rappelé que plusieurs élèves ont vu celui-ci saigner immédiatement après l’altercation. Ce comportement réalise donc bien les éléments constitutifs de l’art. 285 CP, par l’entrave apportée au travail de l’enseignant, qui a dû finalement interrompre son cours, en concours avec des lésions corporelles simples, les lésions occasionnées étant trop importantes pour être qualifiées de voies de fait absorbées par l’art. 285 CP ou permettre l’application de l’atténuante de l’art. 123 ch. 1 aCP.</w:t>
      </w:r>
    </w:p>
    <w:p>
      <w:r>
        <w:rPr>
          <w:b/>
        </w:rPr>
        <w:t>E. 2.8</w:t>
      </w:r>
    </w:p>
    <w:p>
      <w:r>
        <w:t>L’appelant conteste avoir traité le plaignant de « pervers », affirmant avoir dit qu’il avait eu un « geste pervers ». Ces propos ont été tenus au cours d’une audience d’instruction au Ministère public, où ils ont été perçus à tout le moins par deux personnes tierces, soit la greffière et l’avocat du plaignant.</w:t>
      </w:r>
    </w:p>
    <w:p>
      <w:r>
        <w:t>- 17/29 - P/23793/2017 En l’occurrence, le propos de l’appelant ne contient aucune allégation de fait ; celle- ci émane bien plutôt de sa propre fille, entendue au cours de l’audience. Le terme « pervers » – utilisé seul ou avec le mot « geste » – se comprend comme un commentaire ou un qualificatif par rapport à un comportement prêté à l’intimé par la fille de l’appelant. En utilisant ce terme, néanmoins, l’appelant reprend à son compte le comportement prêté à l’intimé par sa fille, et le qualifie. Le plaignant n’a toutefois pas déposé plainte pour le comportement prêté, mais bien pour l’utilisation du terme « pervers » pour le désigner. Le plaignant a d’ailleurs confirmé aux débats d’appel avoir déposé plainte en raison du caractère injurieux de ce terme. Dans ces circonstances, s’agissant d’un cas limite, les faits doivent être qualifiés d’injure au sens de l’art. 177 CP. Le jugement entrepris sera réformé en ce sens.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w:t>
      </w:r>
    </w:p>
    <w:p>
      <w:r>
        <w:t>- 18/29 - P/23793/2017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3.2.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w:t>
      </w:r>
    </w:p>
    <w:p>
      <w:r>
        <w:t>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 6B_688/2014 du 22 décembre 2017 consid. 27.2.1).</w:t>
      </w:r>
    </w:p>
    <w:p>
      <w:r>
        <w:t>3.3.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3.4. 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w:t>
      </w:r>
    </w:p>
    <w:p>
      <w:r>
        <w:t>- 19/29 - P/23793/2017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p. 74 s ; arrêt du Tribunal fédéral 6B_835/2018 du</w:t>
      </w:r>
    </w:p>
    <w:p>
      <w:r>
        <w:rPr>
          <w:b/>
        </w:rPr>
        <w:t>E. 5</w:t>
      </w:r>
    </w:p>
    <w:p>
      <w:r>
        <w:t>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w:t>
      </w:r>
    </w:p>
    <w:p>
      <w:r>
        <w:t>- 9/29 - P/23793/2017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Dans le cadre du principe de libre appréciation des preuves, qui gouverne notamment celle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w:t>
      </w:r>
    </w:p>
    <w:p>
      <w:r>
        <w:rPr>
          <w:b/>
        </w:rPr>
        <w:t>E. 5.1</w:t>
      </w:r>
    </w:p>
    <w:p>
      <w:r>
        <w:t>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 La partie plaignante obtient gain de cause au sens de l'art. 433 al. 1 CPP lorsque le prévenu est condamné et/ou si les prétentions civiles sont admises. Il importe à cet égard peu que la qualification juridique retenue diffère : si le complexe de fait dénoncé par la partie plaignante entraîne une condamnation, celle-ci obtient gain de cause (arrêt du Tribunal fédéral 6B_423/2016 du 26 janvier 2017). La Cour de justice applique au chef d'étude un tarif horaire de CHF 450.- (arrêt du Tribunal fédéral 2C_725/2010 du 31 octobre 2011 = SJ 2012 I 172).</w:t>
      </w:r>
    </w:p>
    <w:p>
      <w:r>
        <w:rPr>
          <w:b/>
        </w:rPr>
        <w:t>E. 5.2</w:t>
      </w:r>
    </w:p>
    <w:p>
      <w:r>
        <w:t>En l'espèce, l'appelant ne critique pas l'allocation à la partie plaignante de ses conclusions civiles en indemnisation au-delà de l'acquittement plaidé, de sorte que le jugement sera confirmé sur ces points également.</w:t>
      </w:r>
    </w:p>
    <w:p>
      <w:r>
        <w:rPr>
          <w:b/>
        </w:rPr>
        <w:t>E. 5.3</w:t>
      </w:r>
    </w:p>
    <w:p>
      <w:r>
        <w:t>Les conclusions de l’intimé pour la procédure d’appel seront admises dans leur principe. Les trois heures consacrées à la demande de non-entrée en matière seront toutefois écartées, dans la mesure où il eût été aisé de vérifier que l’appel avait été formé en temps utile, par exemple par une simple demande au greffe du TP ou de la CPAR quant à la date de la notification du jugement entrepris. Les frais de tenue du dossier, non justifiés, seront également écartés.</w:t>
      </w:r>
    </w:p>
    <w:p>
      <w:r>
        <w:t>- 22/29 - P/23793/2017 C’est donc une indemnité de CHF 5'221.20, correspondant à 10h10 d’activité au taux de CHF 450.- de l’heure, plus les frais et la TVA au taux de 7.7 % (soit CHF 78.45) respectivement de 8.1 % (soit CHF 309.-) qui sera allouée à l’intimé pour la procédure d’appel. 6. L'appelant, qui obtient gain de cause sur une question de qualification juridique qu’il n’avait pas plaidée, supportera 90% des frais de la procédure envers l'État (art. 428 CPP). Compte tenu du caractère peu important de la modification apportée, il n’y a pas lieu de revoir la répartition des frais de la procédure préliminaire et de première instance. 7. 7.1.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- 23/29 - P/23793/2017</w:t>
      </w:r>
    </w:p>
    <w:p>
      <w:r>
        <w:t>7.2.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7.4. En l'occurrence, le TP a omis d’indemniser les différentes audiences auxquelles l’avocat a participé, tout en indemnisant les déplacements y relatifs. Il faut remédier à cette carence, qui découle manifestement d’une méprise. Il convient donc de compléter l’indemnisation avec 16 heures et 40 minutes (et non 17h45 comme le retient à tort le recourant, qui allonge de 65 minutes la durée de l’audience de première instance) au taux de CHF 200.-, plus l’indemnisation forfaitaire de 10% et la TVA au taux de 7.7 % en CHF 282.35, pour un total de CHF 3'949.-.</w:t>
      </w:r>
    </w:p>
    <w:p>
      <w:r>
        <w:t>7.5. La procédure d’instruction au MP a duré relativement longtemps, puisqu’elle a été ouverte le 20 novembre 2017 et s’est clôturée par une ordonnance pénale le 30 juin 2022. Compte tenu du classement initial de la procédure, contesté avec succès par le plaignant, l’instruction proprement dite n’a toutefois débuté qu’en janvier 2019 ; l’avocat du prévenu n’est intervenu qu’après cette date et l’a assisté aux quatre audiences d’instruction.</w:t>
      </w:r>
    </w:p>
    <w:p>
      <w:r>
        <w:t>La procédure d’instruction comporte en tout et pour tout un petit classeur, constitué essentiellement des procès-verbaux d’audience, qui tiennent sur 37 pages, annexes comprises. Le rapport de police et ses annexes en comportent un peu plus, mais nombre de celles-ci sont des pièces de forme (droits de la personne auditionnée etc.). C’est dire que le dossier est peu volumineux. En allouant au conseil du prévenu 16 heures de lecture et étude de dossier, le TP a à nouveau fait preuve d’une grande générosité, ce d’autant que cet avocat avait assisté à toutes les audiences et connaissait donc parfaitement la teneur des procès-verbaux. 7.6. L’avocat recourant fait valoir qu’il était justifié de voir son client tous les deux mois, compte tenu de son « angoisse ». Cet argument n’emporte pas conviction. Le</w:t>
      </w:r>
    </w:p>
    <w:p>
      <w:r>
        <w:t>- 24/29 - P/23793/2017 conseil juridique d’une partie n’a ni vocation thérapeutique ni compétence en la matière. C’est uniquement lorsque le prévenu se trouve en détention que, pour des motifs humanitaires essentiellement, l’assistance judiciaire accepte de prendre en charge un entretien mensuel. En l’occurrence, rien ne justifiait des entretiens réguliers entre l’avocat et son client, en dehors des cinq audiences (quatre au MP et une au TP), voire encore au moment de la notification de l’ordonnance pénale. En allouant neuf entretiens, de surcroît d’une durée d’une heure chacun, le TP a été très magnanime, tenant largement compte de la durée de la procédure. Il n’y a pas lieu d’aller au-delà. De même, rien ne justifiait des déplacements au MP ou au Tribunal, notamment pour la consultation de la procédure : un simple demande écrite, couverte par le forfait pour activités diverses, aurait suffi pour demander la délivrance d’une copie complète, étant relevé qu’on peine à comprendre pourquoi le conseil du prévenu a eu besoin, à quelques semaines d’intervalle, d’une seconde copie. L’allocation de sept déplacements, soit deux supplémentaires par rapport aux déplacements en audience, est à nouveau très large et rien ne justifie d’en allouer plus, étant relevé que le conseil du recourant ne discute pas ce point de la décision entreprise.</w:t>
      </w:r>
    </w:p>
    <w:p>
      <w:r>
        <w:t>En conclusion, le recours formé par le conseil du prévenu est partiellement admis, et l’indemnisation sera augmentée de CHF 3'949.-.</w:t>
      </w:r>
    </w:p>
    <w:p>
      <w:r>
        <w:t>7.7. Pour la procédure d’appel, le conseil du prévenu fait à nouveau valoir six entretiens avec son mandant, d’une durée totale de sept heures et demie, ce qui est manifestement excessif. Deux entretiens, d’une durée totale d’une heure et demie, suffisent à discuter du principe de l’appel et à préparer les débats ; seule cette durée sera prise en compte et indemnisée, la moitié en 2023 et l’autre en 2024.</w:t>
      </w:r>
    </w:p>
    <w:p>
      <w:r>
        <w:t>Le conseil du prévenu fait par ailleurs valoir 1h15 d’activité de lecture et étude du dossier en 2023, soit essentiellement lors de la notification du jugement de première instance voire de la rédaction de la déclaration d’appel. Or, ces activités sont couvertes par l’indemnisation forfaitaire et seront donc écartées.</w:t>
      </w:r>
    </w:p>
    <w:p>
      <w:r>
        <w:t>De même, le conseil de l’appelant fait valoir des activités de lecture du dossier entre janvier et avril 2024, qui seront écartées, entrant dans l’indemnisation forfaitaire. Il fait valoir 8h45 d’activité de préparation des débats d’appel, durée manifestement excessive au vu de la relative simplicité du dossier connu pour avoir été suivi dès le début de l’instruction et plaidé en première instance, et deux déplacements d’une heure chacun.</w:t>
      </w:r>
    </w:p>
    <w:p>
      <w:r>
        <w:t>Seules seront prises en compte à ce titre quatre heures d’activité. La durée de l’audience d’appel, et un forfait déplacement seront ajoutés, étant relevé que dans la mesure où toutes les pièces sont transmises au fur et à mesure ou sur simple appel au greffe, une consultation de la procédure au greffe de la CPAR à la veille de l’audience était superflue et injustifiée.</w:t>
      </w:r>
    </w:p>
    <w:p>
      <w:r>
        <w:t>- 25/29 - P/23793/2017</w:t>
      </w:r>
    </w:p>
    <w:p>
      <w:r>
        <w:t>En conclusion, la rémunération sera arrêtée à CHF 2010.- correspondant à huit heures d'activité au tarif de CHF 200.-/heure plus la majoration forfaitaire de 10%, un forfait déplacement de CHF 100.- et l'équivalent de la TVA au taux de 7.7% en CHF 12.70 et au taux de 8.1% en CHF 137.30.</w:t>
      </w:r>
    </w:p>
    <w:p>
      <w:r>
        <w:t>7.8. Reste à statuer sur les frais et indemnité de la procédure de recours. 7.8.1. Le recourant, qui succombe pour l'essentiel (art. 428 al. 1 CPP), sera condamné aux trois quarts des frais de la procédure de recours, fixés en totalité à CHF 1’000.- (art. 3 cum 13 al. 1 du Règlement fixant le tarif des frais en matière pénale, RTFMP), le solde étant laissé à la charge de l'État. 7.8.2. Le défenseur d'office a droit à des dépens lorsqu'il conteste avec succès une décision statuant sur ses honoraires (ATF 125 II 518 consid. 5; arrêts du Tribunal fédéral 6B_1251/2016 du 19 juillet 2017 consid. 4). En l’occurrence, l’omission du poste « audiences » relève manifestement d’une malencontreuse erreur (ce que confirme d’ailleurs l’octroi d’un forfait de 10% alors que moins de 30 heures ont été indemnisées). On peut se demander si l’avocat n’aurait pas été en mesure d’en obtenir la rectification par la voie de l’art. 83 CPP. En tout état de cause, ses développements sont largement excessifs. Le recourant ne chiffre pas de prétention en indemnité dans son recours. La rédaction de celui-ci lui ayant néanmoins permis d'obtenir une augmentation partielle de son indemnité, une somme de CHF 400.- TTC lui sera allouée, ex aequo et bono. Conformément à l'art. 442 al. 4 CPP, ce montant sera compensé à due concurrence avec la part des frais mise à sa charge. * * * * *</w:t>
      </w:r>
    </w:p>
    <w:p>
      <w:r>
        <w:t>- 26/29 - P/23793/2017</w:t>
      </w:r>
    </w:p>
    <w:p>
      <w:r>
        <w:rPr>
          <w:b/>
        </w:rPr>
        <w:t>E. 8</w:t>
      </w:r>
    </w:p>
    <w:p>
      <w:r>
        <w:t>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3.5. La faute de l'appelant est sérieuse. Il s'en est pris à l’intégrité physique d’un enseignant, dans une école, pendant les heures de cours et devant ses élèves ; il a ensuite sali l'honneur du plaignant. Ses mobiles sont égoïstes et relèvent d'un comportement colérique mal maîtrisé. Il n'hésite pas à se positionner lui-même en victime. Au lieu d’agir en adulte dans son soutien envers sa fille adolescente au moment des premiers faits, il a pris fait et cause pour elle et s’est laissé guider par son emportement et sa colère. Les difficultés rencontrées par celle-ci ne justifiaient aucunement un tel déchaînement de violence. Il a persisté à nier les faits jusqu’aux débats d’appel. Il n'y a ainsi aucune prise de conscience. Sa collaboration est sans particularité et sa situation personnelle est sans rapport avec les faits. Ses antécédents sont aspécifiques. L'appelant ne conteste pas, au-delà de l'acquittement plaidé, la quotité de la peine pécuniaire fixée par le premier juge, étant relevé que le sursis prononcé lui est acquis (art. 42 al. 1 CP et 391 al. 2 CPP).</w:t>
      </w:r>
    </w:p>
    <w:p>
      <w:r>
        <w:t>- 20/29 - P/23793/2017 Les faits les plus graves sont la violence ou menace contre les autorités et les fonctionnaires, infraction poursuivie d’office, qui entraîne une peine de base de 120 jours-amende. Cette peine devrait être aggravée de 45 jours-amende (peine théorique de 60 jours-amende) pour les lésions corporelles simples, et de 15 jours amende (peine théorique de 30 jours-amende) pour l’injure. La CPAR est toutefois liée par l’interdiction de la reformatio in peius (art. 391 al. 2 CPP) ainsi que par le maximum légal du genre de la peine (art. 34 et 49 al. 1 dernière phrase CP) ; dans ces circonstances, il n’est pas nécessaire d’examiner les conséquences du concours rétrospectif et la peine de 150 jours-amende fixée par le premier juge, qui apparaît clémente, sera confirmée. Le montant du jour-amende ainsi que la durée du délai d’épreuve sont adéquats et seront également confirmés, tout comme la non-révocation du sursis antérieur. Compte tenu des antécédents de l’appelant, de son absence totale de prise de conscience et des injures proférées contre le plaignant en cours de procédure, qui démontrent la persistance de son agressivité à son égard, il se justifie d’assortir cette peine pécuniaire d’une amende à titre de sanction immédiate. L’appelant ne critique pas le montant de l’amende, qui a été fixé bien en deçà du montant de la quotité retenue par la jurisprudence. L’amende de CHF 600.- est ainsi confirmée. 4. 4.1. Conformément à l'art. 122 al. 1 CPP, la personne lésée peut, dans le cadre d'une procédure pénale, en tant que partie civile contre l'accusé, faire valoir les droits civils découlant de l'infraction par voie d'adhésion. Le tribunal statue également sur les conclusions civiles présentées lorsqu'il rend un verdict de culpabilité à l'encontre du prévenu (art. 126 let. a CPP).</w:t>
      </w:r>
    </w:p>
    <w:p>
      <w:r>
        <w:t>4.2.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w:t>
      </w:r>
    </w:p>
    <w:p>
      <w:r>
        <w:t>- 21/29 - P/23793/2017</w:t>
      </w:r>
    </w:p>
    <w:p>
      <w:r>
        <w:t>4.3.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4.4. En l'espèce, l’appelant conteste, à titre subsidiaire, le montant de l’indemnité pour tort moral allouée au plaignant. Il est toutefois indéniable que le plaignant a subi, en conséquence des agissements commis par l'appelant à son encontre, une atteinte à sa santé physique et psychique méritant réparation. L’agression dont il a été victime sur son lieu de travail, devant ses élèves, l’a visiblement éprouvé et justifie une indemnisation. Le montant de CHF 1'000.- accordé par le premier juge apparaît adéquat et sera donc confirmé.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