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AARP/298/2013 vom 17. Juni 2013</w:t>
      </w:r>
    </w:p>
    <w:p>
      <w:r>
        <w:t>GE Cour de justice, 2013-06-17, FR</w:t>
      </w:r>
    </w:p>
    <w:p>
      <w:r>
        <w:rPr>
          <w:b/>
        </w:rPr>
        <w:t xml:space="preserve">Quelle: </w:t>
      </w:r>
      <w:r>
        <w:t>https://mcp.opencaselaw.ch/entscheid/ge_gerichte_AARP_298_2013</w:t>
      </w:r>
    </w:p>
    <w:p>
      <w:r>
        <w:t>FR: GE_GERICHTE AARP/298/2013 du 17 juin 2013</w:t>
      </w:r>
    </w:p>
    <w:p>
      <w:r>
        <w:t>IT: GE_GERICHTE AARP/298/2013 del 17 giugno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par.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w:t>
      </w:r>
    </w:p>
    <w:p>
      <w:r>
        <w:t>- 11/19 - P/18936/2010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 La Cour européenne des droits de l'homme a rappelé ces principes en soulignant qu'il y avait lieu d'examiner à titre préliminaire la question des motifs justifiant l'absence du témoin, dont le caractère non sérieux pouvait conduire, à lui seul, à une violation de l'art. 6 par. 1 et 3 let.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(CourEDH Al-Khawaja et Tahery c. Royaume-Uni du 15 décembre 2011, § 119, 120 ss, 126 ss et 131).</w:t>
      </w:r>
    </w:p>
    <w:p>
      <w:r>
        <w:t>- 12/19 - P/18936/2010</w:t>
      </w:r>
    </w:p>
    <w:p>
      <w:r>
        <w:rPr>
          <w:b/>
        </w:rPr>
        <w:t>E. 2.3</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2.4.1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la nature indépendante des infractions elles- mêmes (arrêt du Tribunal fédéral 6B_704/2012 du 3 avril 2013 consid. 1.2). 2.4.2 L'art. 19 ch. 1 let. g de la loi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w:t>
      </w:r>
    </w:p>
    <w:p>
      <w:r>
        <w:t>- 13/19 - P/18936/2010 infraction à l'art. 19 al. 1 LStup (B. CORBOZ, Les infractions en droit suisse, vol. II, 3e éd., Berne 2010, n. 60 p. 909). Toutefois, selon la doctrine, il faut admettre que les actes préparatoires sont absorbés si l’auteur passe au stade suivant et réalise un des actes visés aux let. a à f de l’art. 19. Il n’y a donc concours réel qui si des actes sans rapport l’un avec l’autre sont commis (B. CORBOZ, op. cit, n. 144, p. 932). 2.5.1 En ce qui concerne les faits reprochés sous ch. A.I.1 de l'acte d'accusation, la CPAR partage l'analyse des premiers juges s'agissant des quatre premiers déplacements de C______ du Brésil en Suisse. Certes, les circonstances, soit l'absence de tout lien connu de cet individu avec la Suisse, son impécuniosité apparente et l’existence d’un antécédent, dont la nature n’est toutefois pas connue, l'envoi de son passeport à l'appelant quelques jours avant son premier voyage et le fait qu'il se soit en définitive livré à un transport de drogue à destination de la Suisse, permettent de soupçonner que ses précédents déplacements avaient également un lien avec le trafic. Sur la base des éléments du dossier, il n'est cependant pas possible d'admettre qu'à chacune de ces occasions, C______ a ramené environ un kilo de cocaïne, et que ces transports avaient été organisés par l'appelant. Le reproche d’avoir à tout le moins pris des mesures aux fins de l’organisation des transports ne peut pas plus être retenu, les mesures incriminées n'étant nullement décrites dans l'acte d'accusation, outre que, comme déjà retenu, la réalité même des transports n'est pas établie. 2.5.2 La CPAR retient également qu'il est établi au-delà de tout doute raisonnable que l'appelant a bien organisé le cinquième voyage, portant sur 2'945 kilos de cocaïne à destination de la Suisse, lesquels ont toutefois été interceptés par les autorités brésiliennes. Les explications de l'appelant sur les motifs pour lesquels N______ lui a fait parvenir le passeport de C______ sont dénuées de toute vraisemblance et sont contradictoires avec les déclarations du premier selon lesquelles c'était Q______ qui cherchait du travail. Le dossier établit que l'appelant et le transporteur étaient en contact durant les jours précédant le voyage. L’appelant est, plus qu’un citoyen ordinaire, susceptible de participer à un trafic des stupéfiants, dès lors qu’il a par la suite au moins organisé le transport de cocaïne par B______, et qu’il avait précédemment tenté d’organiser deux autres transports par D______(cf. infra consid. 2.4.3). Les transferts d’argent effectués par l’appelant entre 2009 et 2011 constituent également un indice de son ancrage dans le milieu de trafiquants. L’explication donnée aux virements en Argentine est d’autant moins crédible que, selon D______, le premier déplacement projeté avait vraisemblablement pour destination cet Etat, d’où la drogue devait être ramenée. Certes, certaines déclarations et pièces tendent à confirmer une activité sous le couvert d'une association caritative – sans qu’il soit établi que cette activité serait celle annoncée – mais la levée de fonds importants</w:t>
      </w:r>
    </w:p>
    <w:p>
      <w:r>
        <w:t>- 14/19 - P/18936/2010 grâce à deux concerts à Zurich et à des courriers de sollicitation à des donateurs n’est ni documentée ni même rendue vraisemblable. On ne voit ainsi pas comment l’appelant, dont les sources de revenus licites étaient par ailleurs faibles voire inexistantes, aurait pu transférer près de CHF 57'000.- (CHF 72'000.- ./. CHF 10'460.- et CHF 3'075.-) à l’association ou à des proches en Afrique. Il n’y a pas plus d’éléments au dossier permettant de tenir pour vraisemblables des relations avec J______ liées à un commerce de vêtements, d’autant que celui-ci se trouve par ailleurs être le fournisseur de la drogue transportée par B______. À ces éléments s'ajoutent les déclarations de C______, qui sont précises et ne permettent d'avoir aucun doute sur l'identité du commanditaire répondant au prénom de P______, vu le signalement et les indications données sur son adresse. L'affirmation que C______ aurait accusé à tort une connaissance innocente pour négocier une peine avec les autorités brésilienne ne repose sur aucun élément du dossier et est contredite par le fait que les déclarations les plus accablantes ont été livrées non pas aux autorités brésiliennes, qui ne se sont nullement intéressées à P______, mais aux autorités de police allemandes. L'appelant ne formule pas d'autre reproche à l'égard des procès-verbaux d'audition du transporteur et il est incontestable que l'impossibilité de procéder à une confrontation n'est pas imputable aux autorités de poursuite suisses. Les déclarations de C______viennent certes conforter l'accusation mais ne constituent pas le seul élément à charge. Ces déclarations peuvent donc être retenues. Le fait qu’N______ n’ait pas été poursuivi n’a pas de pertinence, le Ministère public ayant pu légitimement retenir que, contrairement au cas de l’appelant, il ne pourrait soutenir une accusation suffisamment précise à l’encontre de celui-là. Le dossier présente donc un faisceau d'indices convergents permettant de retenir au- delà de tout doute raisonnable la culpabilité de l'appelant s'agissant de ce transport. 2.5.3 Les déclarations d'D______ selon lesquelles l'appelant l'avait démarchée à deux reprises en vue d'un transport de drogue sont constantes, claires et précises. On ne voit pas pour quel motif cette femme se serait à tort mise en cause pour avoir envisagé un premier transport, ni pour quel motif elle aurait accusé faussement l'appelant. La crédibilité de ses dires est confortée par le fait que l'appelant en reconnaît la véracité s'agissant du second épisode. Constitue également un indice important le fait que le premier voyage envisagé, qui aurait dû se dérouler en 2010, avait pour destination l'Argentine alors que précisément au second semestre de la même année, l'appelant a fait des versements à destination de bénéficiaires dans ce pays pour lesquels il n'a pas donné d'explication satisfaisante. Quoi qu’en dise l’appelant, sa conversation téléphonique du 14 mars 2011 avec E______ évoque bien un précédent trajet « moins court » effectué par D______. Face à ces éléments, les dénégations de l'appelant n'emportent pas la conviction. D'une façon générale, vu ses nombreuses contradictions et déclarations fantaisistes,</w:t>
      </w:r>
    </w:p>
    <w:p>
      <w:r>
        <w:t>- 15/19 - P/18936/2010 l'intéressé n'est guère crédible. Pour cet épisode précis, il l’est d'autant moins qu'il a admis à deux reprises les faits avant de se rétracter. C'est ainsi à juste titre que les premiers juges ont retenu que l'appelant avait commis les faits reprochés sous ch. A.I.2 de l’acte d'accusation.</w:t>
      </w:r>
    </w:p>
    <w:p>
      <w:r>
        <w:t>2.5.4 En ce qui concerne les actes préparatoires consistant dans le démarchage des deux mules prénommées F______ et G______, l'appelant a déclaré de façon constante que les deux femmes étaient des possibles candidates pour le transport en définitive effectué par B______. Sur ce point, ses déclarations bénéficient d'une meilleure crédibilité, ne serait-ce que parce qu'il est peu probable que l'intéressé ait été conscient, au moment où il les commettait, des conséquences qu'elles pouvaient emporter sur le plan juridique. Par ailleurs, il n’y a pas d'éléments en sens contraire, si ce n’est que B______ a dit avoir été initialement démarché pour un déplacement en Afrique du Sud mais il est possible que l'appelant lui ait menti à ce stade sur sa destination, étant rappelé qu’à teneur du dossier, le trafic auquel l’appelant était mêlé portait sur de la drogue provenant d'Amérique latine. De surcroît, l'acte d'accusation retient expressément, s'agissant de F______ et G______, que celle-ci était censée se rendre en Amérique du Sud. Au plan factuel, il convient donc d'admettre que les deux femmes prénommées F______ et G______ ont été démarchées en vue d'effectuer le transport en définitive confié à B______ et ayant donné lieu à son arrestation ainsi qu'à celle de l'appelant.</w:t>
      </w:r>
    </w:p>
    <w:p>
      <w:r>
        <w:t>Au plan juridique, il faut retenir que ces actes préparatoires forment un tout avec l'acte en définitive effectué, soit l'organisation du transport confié à B______, la doctrine citée devant être approuvée vu l'intention délictueuse unique. C'est partant à raison que les premiers juges ont acquitté l'appelant des faits reprochés sous ch. 3 et</w:t>
      </w:r>
    </w:p>
    <w:p>
      <w:r>
        <w:rPr>
          <w:b/>
        </w:rPr>
        <w:t>E. 2.6</w:t>
      </w:r>
    </w:p>
    <w:p>
      <w:r>
        <w:t>En conclusion, le jugement doit être intégralement confirmé, s'agissant du verdict de culpabilité, de sorte que l'appel et l'appel joint seront rejetés à cet égard.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w:t>
      </w:r>
    </w:p>
    <w:p>
      <w:r>
        <w:t>- 16/19 - P/18936/2010 peut continuer à s'y référer (arrêt du Tribunal fédéral 6B_992/2008 du 5 mars 2009 consid. 5.1). 3.2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- 17/19 - P/18936/2010 3.3 En l'occurrence, la faute de l'appelant est grave. Contrairement à ce qu'il soutient, celui-ci tenait une place élevée dans le trafic, étant en contact direct avec E______, dont il dit lui-même qu'il était le chef du réseau ; c’était lui qui devait prendre livraison en Suisse des presque 2 kilos de cocaïne transportés par B______, d'une très grande valeur, vu le taux de pureté exceptionnel. La quantité totale de drogue saisie est de près de 5 kilos. L’appelant était, en Suisse, le pivot d’un trafic international, recrutant les mules, qu’il choisissait et encadrait, organisant le voyage et assurant la liaison avec le chef en Angleterre et avec le fournisseur à l’étranger, comme en attestent ses contacts avec J______. Le rôle de premier plan de l’appelant se déduit également de l'importance des sommes que, alors qu’il ne dispose d’aucune source de revenu licite, il a été en mesure de transférer à ses proches en Afrique, peu importe que les flux financiers sous-jacents au trafic n'aient pas pu être découverts. La période pénale a été longue, les faits les plus anciens retenus, soit le voyage de C______ et le premier démarchage d’D______ remontant à l’année 2010. L’intention délictuelle était forte, vu les nombreuses occurrences ; les agissements reprochés n’ont d’ailleurs pris fin que du fait de l’intervention de la police. L’appelant a agi par appât du gain, au mépris de la santé des consommateurs. Il a agi lâchement, n’hésitant pas à utiliser la précarité des personnes approchées en leur faisant principalement assumer le risque d’une arrestation. Ses agissements tombent sous le coup tant de la circonstance aggravante de la mise en danger de la vie de nombreuses personnes que de celle de l’affiliation à une bande. La collaboration de l’appelant a été des plus médiocres, celui-ci se cantonnant derrière des déclarations fantaisistes et ne reconnaissant que partiellement les faits, dans la mesure où les éléments du dossier ne lui permettaient guère de les nier. Les excuses présentées à B______ à plusieurs reprises paraissent sincères ; en revanche, vu ses dénégations et ses tentatives de minimiser son rôle, l’appelant ne semble guère avoir pris conscience de la gravité de ses actes. L’antécédent de l’appelant est ancien, de faible gravité et non spécifique. Ceci étant, il sied de rappeler que l’absence d’antécédents est un facteur neutre pour la fixation de la peine (ATF 136 IV 1). La situation personnelle de l’appelant n’explique en aucun cas son passage à l’acte, étant rappelé qu’il est au bénéfice d’un titre universitaire et d’un titre de séjour en Suisse, marié à une femme qui pourvoyait à l’entretien du couple et percevait l’aide sociale. Au regard de ces circonstances, la peine privative de liberté de sept ans infligée par les premiers juges est adéquate et devra être confirmée.</w:t>
      </w:r>
    </w:p>
    <w:p>
      <w:r>
        <w:rPr>
          <w:b/>
        </w:rPr>
        <w:t>E. 4</w:t>
      </w:r>
    </w:p>
    <w:p>
      <w:r>
        <w:t>L’appel comme l’appel joint étant intégralement rejetés, l’appelant supportera la moitié des frais de la procédure, comprenant un émolument de CHF 2'000.- (art. 428 CPP et 14 al. 1 let. e du règlement fixant le tarif des frais en matière pénale, du 22 décembre 2010 [RTFMP ; RS-GE E 4 10.03]).</w:t>
      </w:r>
    </w:p>
    <w:p>
      <w:r>
        <w:t>- 18/19 - P/18936/2010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