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AARP/297/2022 vom 28. September 2022</w:t>
      </w:r>
    </w:p>
    <w:p>
      <w:r>
        <w:t>GE Cour de justice, 2022-09-28, FR</w:t>
      </w:r>
    </w:p>
    <w:p>
      <w:r>
        <w:rPr>
          <w:b/>
        </w:rPr>
        <w:t xml:space="preserve">Quelle: </w:t>
      </w:r>
      <w:r>
        <w:t>https://mcp.opencaselaw.ch/entscheid/ge_gerichte_AARP_297_2022</w:t>
      </w:r>
    </w:p>
    <w:p>
      <w:r>
        <w:t>FR: GE_GERICHTE AARP/297/2022 du 28 septembre 2022</w:t>
      </w:r>
    </w:p>
    <w:p>
      <w:r>
        <w:t>IT: GE_GERICHTE AARP/297/2022 del 28 settembre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1.8</w:t>
      </w:r>
    </w:p>
    <w:p>
      <w:r>
        <w:t>secondes) constituent cependant des standards minimaux habituellement reconnus (ATF 131 IV 133 consid. 3.1 p. 135 s.). Il appartient au véhicule qui suit d'adapter sa vitesse et l'intervalle nécessaire par rapport au véhicule qui précède (arrêt du Tribunal fédéral 6B_451/2010 du 13 septembre 2010 consid. 3.4). Si l'espacement à l'origine suffisant, diminue par le ralentissement du véhicule précédent, le conducteur du véhicule qui suit doit veiller au rétablissement de la distance suffisante (ATF 81 IV 47 consid. 3 ; A. BUSSY / B. RUSCONI / Y. JEANNERET / A. KUHN / C. MIZEL / CH. MÜLLER, Code suisse de la circulation routière : commentaire, 4e éd., 2015 Lausanne, n. 5.3 ad 34). 2.3.4. Selon l’art. 35 LCR, les croisements se font à droite, les dépassements à gauche (al. 1). Celui qui dépasse doit avoir particulièrement égard aux autres usagers de la route, notamment à ceux qu'il veut dépasser (al. 3). Aux termes de l'art. 10 al. 1 1ère ph. OCR, le conducteur qui veut dépasser, se déplacera prudemment sur la gauche sans gêner les véhicules qui suivent.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142 IV 93 consid. 3.2 ; 133 II 58 consid. 4 ; 126 IV 192 consid. 2a). 2.3.5. Il ressort de l'art. 27 al. 1 LCR que chacun se conformera aux signaux et aux marques ainsi qu’aux ordres de la police. Les signaux et les marques priment les règles générales ; les ordres de la police ont le pas sur les règles générales, les signaux et les marques. Aux termes de l'art. 74a al. 1 de l'ordonnance sur la signalisation routière (ci-après : OSR), les bandes cyclables seront délimitées par une ligne jaune discontinue ou continue (6.09). Il est interdit d’empiéter sur la ligne continue ou de la franchir. Sur l’aire d’une intersection, le marquage des bandes cyclables n’est autorisé que si la</w:t>
      </w:r>
    </w:p>
    <w:p>
      <w:r>
        <w:t>- 16/34 - P/17408/2019 priorité est retirée aux véhicules qui débouchent sur l’intersection et si les deux moitiés de la chaussée sont séparées par une marque. Les voies réservées aux bus, qui sont délimitées par des lignes jaunes continues ou discontinues et qui portent l’inscription jaune «BUS» (6.08), ne peuvent être utilisées que par des bus publics en trafic de ligne et, le cas échéant, par des trams ou chemins de fer routier ; est réservée toute dérogation indiquée par une marque ou un signal. Les autres véhicules ne doivent pas emprunter les voies réservées aux bus ; au besoin (p. ex. pour obliquer), ils peuvent toutefois les franchir lorsqu’elles sont délimitées par une ligne jaune discontinue (art. 74b OSR). 2.3.6. L'art. 34 LCR stipule que les véhicules tiendront leur droite et circuleront, si la route est large, sur la moitié droite de celle-ci. Ils longeront le plus possible le bord droit de la chaussée, en particulier s’ils roulent lentement ou circulent sur un tronçon dépourvu de visibilité (al. 1). Le conducteur qui veut modifier sa direction de marche, par exemple pour obliquer, dépasser, se mettre en ordre de présélection ou passer d’une voie à l’autre, est tenu d’avoir égard aux usagers de la route qui viennent en sens inverse ainsi qu’aux véhicules qui le suivent (al. 3).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(art. 39 al. 1 let. a LCR). Selon l'art. 28 OCR, le conducteur annoncera tout changement de direction, y compris vers la droite (al. 1). Les cyclistes peuvent cesser de faire le signe déjà pendant le changement de direction (al. 2 in fine). Sur les routes marquées de plusieurs voies pour une même direction, le conducteur ne peut passer d’une voie à une autre que s’il n’en résulte pas de danger pour les autres usagers de la route (art. 44 al. 1 LCR). L'art. 46 al. 1 LCR prévoit que les cyclistes doivent circuler sur les pistes et les bandes cyclables. 2.3.7. L'art. 125 CP absorbe les infractions à la LCR de mise en danger, en particulier l'art. 90 LCR, en l'absence de mise en danger d'autres personnes que le blessé (arrêt du Tribunal fédéral 6B_291/2015 du 18 janvier 2016 consid. 3.2 ; M. DUPUIS / L. MOREILLON / C. PIGUET / S. BERGER / M. MAZOU / V. RODIGARI [éds.], Petit commentaire, Code pénal, 2ème éd., 2017 Bâle, n. 14 ad art. 125). 2.4.1. En l'espèce, il est établi qu'avant l'accident, le prévenu et le lésé, provenant tous deux de la rue Voltaire, roulaient en début de matinée sur le boulevard James-</w:t>
      </w:r>
    </w:p>
    <w:p>
      <w:r>
        <w:t>- 17/34 - P/17408/2019 Fazy en direction du pont de la Coulouvrenière. Alors que deux des trois voies du boulevard précité (pour plus de clarté, il ne sera pas fait référence à la quatrième voie de gauche) étaient fermées à la circulation (hormis pour les trams) entre les rues Albert-Richard et de Saint-Jean, soit les voies centrale et de droite, ils se sont retrouvés sur la voie de gauche, où le motocycliste a dépassé le témoin L______ qui roulait en scooter. Ils se sont ensuite déplacés, dès la fin des travaux, vers la droite en direction de la voie centrale, dans le respect du panneau de signalisation et du marquage provisoire au sol. Bien que le prévenu affirme qu'il ne roulait pas strictement derrière l'intimé, il ressort clairement des images de vidéosurveillance qu'ils se situaient tous deux sur la voie de gauche en ligne droite parallèle à la route (8:14:23:69), avant de se retrouver tous les deux à nouveau sur le côté gauche (8:14:24:09) puis droit (8:14:25:17) de la voie centrale, ce qui est corroboré par le témoin L______, toujours légèrement en diagonale (le cyclomotoriste plus à gauche que le motocycliste), du fait de la vitesse vraisemblablement plus élevée du motocycle. Quant à la distance qui les séparait, force est de constater, sur la base des mêmes images et contrairement aux déclarations variables du prévenu à ce sujet, qu'elle se réduit au fur et à mesure de l'avancée des deux véhicules, passant d'environ 1 m seulement au chevauchement des roues avant et arrière des intéressés. Les deux véhicules finissent par se retrouver côte à côte, le plaignant sur la ligne discontinue séparant la voie de droite de celle centrale et le prévenu sur la voie de droite réservée aux trams (8:14:25:73), ce qui provoque une collision et la chute de la victime. 2.4.2. L'appelant ne saurait ainsi être suivi lorsqu'il prétend qu'il n'était pas tenu de respecter une distance suffisante en suivant l'intimé, dès lors qu'il découle de ce qui précède qu'ils ont tous deux roulé sur la voie de gauche, puis sur celle centrale, même s'il s'agit en définitive d'un court laps de temps (environ 1 seconde s'agissant de la voie centrale). Compte tenu de la modification de la chaussée entraînée par les travaux, le témoin L______ ayant d'ailleurs indiqué à cet égard avoir ressenti de la tension sur la route, de la présence d'un cyclomotoriste (conducteur vulnérable), d'un autre motocycliste ainsi que du tram et de la densité de la circulation (heure de pointe en plein centre-ville), l'appelant se devait d'être particulièrement vigilent en adaptant sa vitesse ainsi que la distance nécessaire par rapport au cyclomotoriste, devoir qu'il a de toute évidence enfreint en circulant bien trop près du véhicule qui le précédait, à un point tel qu'il l'a d'ailleurs touché, ce qui a provoqué sa chute. En circulant trop près du véhicule qui le précédait, le prévenu a enfreint les art. 34 al. 4 LCR et 12 al. 1 OCR. 2.4.3. L'appelant n'est pas non plus crédible lorsqu'il soutient ne pas avoir tenté de dépasser le lésé, mais avoir été contraint de se déporter vers la droite tout en</w:t>
      </w:r>
    </w:p>
    <w:p>
      <w:r>
        <w:t>- 18/34 - P/17408/2019 effectuant un freinage d'urgence, compte tenu du comportement imprévisible de ce dernier. En effet, après la zone des travaux, le plaignant s'est, à l'instar de l'appelant, limité à respecter la signalisation et le marquage au sol provisoire, lesquels le contraignaient à se rabattre de la voie de gauche vers la voie centrale, de sorte que sa conduite ne peut être qualifiée de fautive – il n'avait pas à manifester son intention dans ce cas de figure – et encore moins d'inattendue. Par la suite, dans l'optique de rejoindre la piste qui lui était dévolue, le cyclomotoriste a continué sa progression vers la droite de la chaussée, ce de manière encore une fois totalement prévisible. Les dénégations de l'appelant, en ce qu'il ignorait l'affectation de ladite piste sont vaines, dès lors que, dans tous les cas, il devait s'attendre à ce qu'un cycliste en particulier tienne sa droite et qu'au surplus, habitué des lieux, il ne peut avoir ignoré le marquage au sol à l'endroit précis de l'accident, clairement visible. L'eût-il ignoré que ce serait une ignorance fautive. C'est le lieu de souligner que, contrairement aux constations policières, rien ne permet de retenir que l'intimé aurait quelque peu tardé dans sa manœuvre, dans la mesure où il n'a mis en définitive que deux secondes pour traverser la voie centrale (8:14:23:69 à 8:14:25:73). Le fait qu'il se retrouve légèrement en diagonale du prévenu, soit plus à gauche, ne signifie pas qu'il a ou aurait traîné, mais seulement qu'il circulait à une vitesse moindre que le motocycle. La Cour tient néanmoins pour établi, sur la base des images de vidéosurveillance, que la victime, laquelle n'allègue d'ailleurs pas le contraire, n'a pas annoncé son changement de direction, alors même qu'elle s'apprêtait, en passant de la voie centrale à celle de droite, à changer de voie. Compte tenu de la progression en diagonale continue du lésé, cette erreur à elle seule ne permet pas de parvenir à la conclusion que le prévenu aurait été pris de court et n'aurait eu d'autre choix que de freiner en urgence et de se déporter vers la droite. En tout état de cause, l'accident s'est produit, tandis que l'intimé achevait sa manœuvre et qu'il n'était alors plus tenu de faire le signe (art. 28 al. 2 in fine OCR). Si l'appelant a choisi d'entreprendre cette manœuvre dangereuse, c'est bien plus en raison de son comportement propre – non- respect de la distance suffisante – que de celui du lésé. La CPAR retient par conséquent, conformément aux images de vidéosurveillance ainsi qu'au témoignage de L______, que le motocycliste a bien entrepris de dépasser le lésé par la droite, empiétant de ce fait sur la voie réservée aux trams. L'appelant a ainsi également violé les art. 35 al. 1 et 3 LCR et 10 al. 1 1ère ph. OCR, ne pouvant déroger à l'interdiction de dépasser par la droite, ainsi que les art. 27 al. 1 LCR et 74b OSR, ayant franchi la ligne jaune discontinue pour effectuer un</w:t>
      </w:r>
    </w:p>
    <w:p>
      <w:r>
        <w:t>- 19/34 - P/17408/2019 dépassement interdit – non pas pour obliquer par exemple (art. 74b dernière ph. OSR a contrario) – puis, de ce fait, circulé sur la voie réservée au bus. 2.4.4. Le danger particulier de sa manœuvre ne pouvait échapper à l'appelant, d'autant qu'il connaissait bien ce tronçon pour l'employer quotidiennement. Aucune circonstance particulière ne l'a empêché de se conformer à ses devoirs. Il aurait dû rouler moins vite, laissant ainsi plus d'espace entre lui-même et le cyclomoteur qui le précédait, et renoncer au dépassement illicite, de sorte qu'il aurait pu éviter la collision qui s'en est suivie, ce qu'il n'était pas sans savoir. Sa manœuvre est donc fautive. 2.4.5. En outre, le prévenu ne saurait se prévaloir du principe de la confiance pour plusieurs motifs. D'une part, il ne s'est pas comporté réglementairement et a créé une situation confuse en ne rétablissant pas de distance suffisante avec l'intimé puis en entamant un dépassement par la droite sur la voie réservée aux bus, alors même qu'un tram y circulait. Il ne pouvait pas attendre du précité, qui le précédait, qu'il pare à ce danger par une attention accrue. Au contraire, les circonstances particulières du cas d'espèce (voir supra ch. 2.4.2) devaient l'inciter à anticiper d'éventuelles manœuvres des autres usagers. D'autre part, le comportement du cyclomotoriste n'était pas imprévisible au point de considérer que l'appelant n'aurait pas enfreint la distance suffisante, le marquage au sol et l'interdiction de dépasser par la droite. Certes, il est établi que le lésé a changé de direction sans égard au motocycle qui se trouvait derrière lui, n'ayant pas manifesté son intention de changer de voie (voir supra ch. 2.4.3). On ne saurait toutefois retenir que le cyclomoteur a surgi de manière inopinée dans le champ de vision du recourant, le témoin L______ l'ayant aperçu au milieu de la voie centrale déjà, ni qu'il aurait soudainement accéléré pour forcer le passage. Le cyclomotoriste, seul autorisé à se déporter sur la voie du tram par le signalement idoine, ne pouvait pas non plus s'attendre à ce qu'un autre véhicule plus rapide se trouve à sa droite derrière lui. L'accident a par ailleurs eu lieu sur un tronçon rectiligne en pente, où la visibilité est donc étendue, ce qui ressort notamment des photographies de police. Dans ces circonstances, le motocycliste qui, tenu par le respect de la distance suffisante, devait s'attendre à ce qu'un véhicule qui le précédait modifie sa direction, éventuellement au détriment de certaines règles de la circulation, n'a pas fait preuve de l'attention requise, laquelle lui aurait permis d'adapter sa vitesse ainsi que l'intervalle nécessaire par rapport au véhicule qui le précédait et de renoncer au dépassement illicite par la droite. 2.4.6. Sans la manœuvre fautive de l'appelant la collision avec l'intimé n'aurait assurément pas eu lieu. Son comportement est donc en relation de causalité naturelle</w:t>
      </w:r>
    </w:p>
    <w:p>
      <w:r>
        <w:t>- 20/34 - P/17408/2019 avec l'accident et les lésions graves – ce qui est établi et incontesté – occasionnées à la victime. Sous l'angle de la causalité adéquate, il est évident que le fait d'entreprendre un dépassement par la droite d'un cyclomoteur sans respecter les distances suffisantes est propre à causer un accident de la route avec des blessés graves. S'il est vrai que le comportement de l'intimé revêt le caractère d'une faute concomitante, puisqu'il a tenté de changer de voie sans égard aux véhicules qui le suivaient et que cette faute a concouru à la survenance dudit accident, qui aurait pu être évité si le lésé avait manifesté son intention, elle ne saurait toutefois reléguer à l'arrière-plan la faute de l'appelant et ainsi interrompre le lien de causalité En effet, la faute du cyclomotoriste n'est pas déterminante vu l'absence de compensation des fautes en droit pénal (ATF 122 IV 17 consid. 2c/bb p. 24) et vu qu'il n'est ni extraordinaire ni imprévisible que des usagers de la route changent de direction sans égard aux véhicules qui les suivent et sans annoncer leur intention. 2.4.7. Au vu de ce qui précède, la culpabilité du prévenu pour lésions corporelles graves par négligence sera confirmée (art. 125 al. 1 et 2 CP) et son appel rejeté.</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t>2.2.1.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t>- 13/34 - P/17408/2019 2.2.2.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(arrêts du Tribunal fédéral 6B_33/2021 du 12 juillet 2021 consid. 3.1 ;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p. 140). S'agissant d'un accident de la route, il convient de se référer aux règles de la circulation routière (ATF 122 IV 133 consid. 2a ; arrêt du Tribunal fédéral 6B_33/2021 du 12 juillet 2021 consid. 3.1).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134 IV 255 consid. 4.4.2 ; 133 IV 158 consid. 6.1 ; 131 IV 145 consid. 5.2 ; cf. en matière de circulation routière : 127 IV 34 consid. 2a). 2.3.1. L'art. 26 al. 1 de la loi sur la circulation routière (ci-après :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w:t>
      </w:r>
    </w:p>
    <w:p>
      <w:r>
        <w:t>- 14/34 - P/17408/2019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(ATF 143 IV 500 consid. 1.2.4). 2.3.2. A teneur de l'art. 31 al. 1 LCR, le conducteur devra rester constamment maître de son véhicule de façon à pouvoir se conformer aux devoirs de la prudence. L'art. 3 al. 1 de l'ordonnance sur la circulation routière (ci-après :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 arrêts du Tribunal fédéral 6B_69/2017 du 28 novembre 2017 consid. 2.2.1 ; 6B_665/2015 du 15 septembre 2016 consid. 2.2). Lorsqu'un conducteur doit prêter son attention visuelle principalement dans une direction déterminée, on peut admettre que son attention soit moindre dans les autres. Le conducteur doit avant tout porter son attention, outre sur sa propre voie de circulation (arrêt du Tribunal fédéral 6B_783/2008 du 4 décembre 2008 consid. 3.3), sur les dangers auxquels on doit s'attendre et peut ne prêter qu'une attention secondaire à d'éventuels comportements inhabituels ou aberrants (ATF 122 IV 225 consid. 2b et 2c p. 228 ; arrêts du Tribunal fédéral 6B_33/2021 du 12 juillet 2021 consid. 3.2.2 ; 6B_1157/2016 du 28 mars 2017 consid. 4.3). 2.3.3. L'art. 34 al. 4 LCR prévoit que le conducteur doit observer une distance suffisante notamment lorsque des véhicules se suivent.</w:t>
      </w:r>
    </w:p>
    <w:p>
      <w:r>
        <w:t>- 15/34 - P/17408/2019 Cette disposition est concrétisée à l'art. 12 al. 1 OCR, selon lequel lorsque des véhicules se suivent, le conducteur se tiendra à une distance suffisante du véhicule qui le précède, afin de pouvoir s'arrêter à temps en cas de freinage inattendu. Ce qu'il faut comprendre par "distance suffisante" au sens de l'art. 34 al. 4 LCR doit être déterminé au regard de toutes les circonstances, telles 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"demi compteur" (correspondant à un intervalle de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- 21/34 - P/17408/2019 3.1.2.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En l'espèce, la faute commise par l'appelant relève d'une infraction par négligence, mais l'inattention de l'intéressé était grave, sachant qu'il a violé pas moins de trois règles de la circulation routière, dans le but vraisemblablement de gagner du temps dans le trafic. Les conséquences ont été lourdes pour la victime, grièvement blessée. Le prévenu persiste en outre à nier toute culpabilité et tente vainement de rejeter l'entière responsabilité de l'accident sur le cyclomotoriste. Sa prise de conscience est dès lors toute relative. Sa situation personnelle est sans lien avec les faits. Il n'a aucun antécédent judiciaire, ce qui a un effet neutre sur la peine. Non contesté, le type de peine est confirmé ; sa quotité de 180 unités est tout à fait adéquate au regard de la gravité de la faute et des autres éléments pertinents. A cet effet, il sera rappelé que la faute dont l'appelant croit pouvoir faire grief à l'intimé ne l'exonère pas de ses propres manquements, de sorte qu'elle n'a pas d'influence sur la fixation de sa peine, sachant qu'il n'existe pas de compensation des fautes en droit pénal (ATF 122 IV 17 consid. 2c/bb p. 24). Le montant du jour amende de CHF 30.- consacre une application correcte des critères fixés à l'art. 34 CP, soit sa situation personnelle et financière. Le principe du sursis, dont les conditions sont au demeurant réalisées, est acquis à l'appelant (art. 391 al. 2 CPP). La peine prononcée en première instance sera par conséquent confirmée.</w:t>
      </w:r>
    </w:p>
    <w:p>
      <w:r>
        <w:rPr>
          <w:b/>
        </w:rPr>
        <w:t>E. 4.1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w:t>
      </w:r>
    </w:p>
    <w:p>
      <w:r>
        <w:t>- 22/34 - P/17408/2019 Conformément à l'art. 126 al. 1 let. a et b CPP, le Tribunal statue sur les conclusions civiles présentées lorsqu'il rend un verdict de culpabilité à l'encontre du prévenu ou lorsqu'il l'acquitte et que l'état de fait est suffisamment établi.</w:t>
      </w:r>
    </w:p>
    <w:p>
      <w:r>
        <w:rPr>
          <w:b/>
        </w:rPr>
        <w:t>E. 4.2</w:t>
      </w:r>
    </w:p>
    <w:p>
      <w:r>
        <w:t>Chacun est tenu de réparer le dommage qu'il cause à autrui d'une manière illicite, soit intentionnellement, soit par négligence ou imprudence (art. 41 al. 1 de la loi fédérale complétant le code civil suisse [CO]). 4.3.1. Au terme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4.3.2. L'indemnité due à titre de réparation du tort moral peut être fixée selon une méthode s'articulant en deux phases. La première consiste à déterminer une indemnité de base, de nature abstraite, tandis que la seconde implique une adaptation de cette somme aux circonstances du cas d'espèce. Si le Tribunal fédéral admet cette méthode, à condition qu'elle ne conduise pas à une standardisation ou une schématisation des montants alloués, il ne l'impose pas non plus (ATF 132 II 117 consid. 2.2.3 ; arrêts du Tribunal fédéral 6B_118/2009 du 20 décembre 2011 consid. 9.1 non publié in ATF 138 I 97 ; 6B_1218/2013 du 3 juin 2014 consid.3.1.1 ; C. WIDMER LÜCHINGER / D. OSER [éds], Basler Kommentar, Obligationenrecht I, 7e éd., Bâle 2019, n. 20 ad art. 47). Dans la première phase, le juge examine la gravité objective de l'atteinte pour fixer un montant de base indicatif selon le degré de l'atteinte à l'intégrité (invalidité médico-théorique ; F. WERRO, La responsabilité civile, 3e éd., 2017, ch. 1445 ; K. HÜTTE / P. DUCKSCH / A. GROSS / K. GUERRERO, Le tort moral, Tableaux de jurisprudence comprenant des décisions judiciaires rendues de 1990 à 2005, 3e éd., 2005, p. I/63).</w:t>
      </w:r>
    </w:p>
    <w:p>
      <w:r>
        <w:t>- 23/34 - P/17408/2019 La détermination de ce montant peut être réalisée en appliquant par analogie l'art. 24 de la loi fédérale sur l'assurance-accidents (LAA), l'annexe 3 de l'ordonnance sur l'assurance-accidents (OLAA) et les tabelles éditées par la SUVA (C. WIDMER LÜCHINGER / D. OSER [éds], op. cit., n. 20 ad art. 47 ; A. GUYAZ, Le tort moral en cas d'accident : une mise à jour, SJ 2013 II 215, p. 242 s. et 247 ; K. HÜTTE et al., op. cit., p. I/63 ss). A teneur de l'art. 25 LAA, l'IpAI est allouée sous forme de prestation en capital. Elle ne doit pas excéder le montant maximum du gain annuel assuré à l'époque de l'accident et est échelonnée selon la gravité de l'atteinte à l'intégrité. Selon l'art. 22 al. 1 OLAA, dans sa version en vigueur au 1er avril 2018, le montant maximum du gain assuré s'élève à CHF 148'200.- par an, soit CHF 406.- par jour. Dans la seconde phase, le juge adapte le montant de base, vers le haut ou vers le bas, pour prendre en compte tous les éléments propres au cas d'espèce. De la sorte, le montant finalement alloué tient compte de la souffrance effectivement ressentie par le demandeur (ATF 132 II 117 consid. 2.2.3 ; arrêt du Tribunal fédéral 6B_1218/2013 du 3 juin 2014 consid. 3.1.1), ce qui revient à reconsidérer les éléments déterminants pour décider de l'octroi ou non d'une indemnité en réparation pour tort moral. La gravité objective de l’atteinte ayant déjà été prise en compte dans le cadre de la première phase, il s’agit ici de ne retenir que les éléments particuliers qui ne découlent en principe pas de l’atteinte objective telle que retenue dans la première étape du calcul. En d’autres termes, une majoration du montant de base au cours de la seconde phase n’est pas automatique, et ne doit intervenir que s’il existe des circonstances qui s’écartent considérablement des conséquences classiques d’un tel événement dommageable (arrêt du Tribunal fédéral 6B_199/2007 du 13 mai 2008 consid. 6.2. ; A. GUYAZ, op. cit., p. 253). 4.3.3. L'opportunité de se référer au droit des assurances sociales est cependant sujette à caution en raison des finalités différentes poursuivies en comparaison à celles du droit de la responsabilité civile. A tout le moins, les montants obtenus ne doivent pas être employés tels quels. Pour obtenir un montant objectif, le juge compare plutôt les faits qui lui sont soumis aux différents cas d'espèce déjà jugés et, en particulier, se fonde sur les tables que la pratique a établies (F. WERRO, op. cit., ch. 1426 ss et 1446). 4.4.1.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p. 345 ; arrêt du Tribunal fédéral 6B_118/2016 du 20 mars 2017 consid. 6.1).</w:t>
      </w:r>
    </w:p>
    <w:p>
      <w:r>
        <w:t>- 24/34 - P/17408/2019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 4A_481/2009 du 26 janvier 2010 consid. 6.2.1 ; cf. O. PELET, Le prix de la douleur, in C. CHAPPUIS / B. WINIGER [éds], Le tort moral en question, 2013, p. 152). D'autres cas documentés durant les années 2003 à 2005 font toutefois état d'indemnités de l'ordre de CHF 50'000.- en présence d'atteintes importantes à l'intégrité physique mais n'ayant pas occasionné d'invalidité permanente (arrêt du Tribunal fédéral 6B_546/2011 du 12 décembre 2011 consid. 2.4). Le message du Conseil fédéral concernant la révision totale de la loi fédérale sur l'aide aux victimes d'infractions (LAVi ;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4.4.1.1. Le Tribunal fédéral a jugé équitable une indemnité pour tort moral de CHF 140'000.- allouée à la victime d'un accident de la circulation qui, par suite d'un traumatisme cranio-cérébral et d'autres blessures graves, avait dû faire plusieurs séjours de longue durée à l'hôpital, aurait besoin toute sa vie de soins médicaux et qui n'avait pu conserver qu'une autonomie restreinte (arrêt du Tribunal fédéral 4A_373/2007 du 8 janvier 2008 non reproduit intégralement in ATF 134 III 97 consid. 4 = JdT 2008 I 493). Une indemnité de CHF 80'000.- a aussi récemment été confirmée par le Tribunal fédéral dans un cas de lésions corporelles graves à la suite d'un accident de la circulation, sans faute concomitante de la victime, un jeune homme à la carrière professionnelle prometteuse, qui avait subi de multiples fractures des membres inférieurs, des contusions graves du foie et de la rate, ainsi qu'un violent choc à la tête, ayant entraîné une fracture de la pyramide nasale et de très nombreuses fractures dentaires. Il était resté hospitalisé, en comptant la rééducation, près de neuf mois, et avait dû cesser totalement ses activités professionnelles, sa capacité de travail résiduelle étant de 30% (ATF 141 III 97 consid. 11.4). 4.4.1.2. La CPAR a quant à elle confirmé l'octroi d'une indemnité pour tort moral de CHF 40'000.- à un jeune homme de 23 ans agressé par des individus, lui causant de multiples fractures du massif facial (os frontal, sinus maxillaire bilatéral et sphénoïdal, plancher de l'orbite avec atteinte du canal du nerf) et un enfoncement naso-éthmoïdal, ces nombreuses lésions ayant également causé un passage d'air dans</w:t>
      </w:r>
    </w:p>
    <w:p>
      <w:r>
        <w:t>- 25/34 - P/17408/2019 le cerveau avec fuite de liquide céphalo-rachidien, ce qui avait nécessité de longues interventions chirurgicales, une hospitalisation d'environ cinq semaines, et avait causé une modification permanente de la forme du nez, une perte totale de l'odorat et partielle du goût, ainsi que la pose de plaques de métal dans le visage (AARP/258/2016 du 1er février 2016 consid. 4.3.1). Elle a également alloué une indemnité de CHF 30'000.- à une étudiante de 19 ans, percutée par un véhicule, qui avait subi diverses opérations et dont le pronostic vital avait été engagé. Elle était contrainte de prendre de l'aspirine à vie et astreinte à des séances de physiothérapie. Toutefois, si elle ressentait encore des douleurs dans une jambe, elle ne souffrait d'aucune séquelle lourde susceptible de bouleverser en profondeur et durablement ses activités privées et professionnelles à venir, n'ayant notamment pas été contrainte d'interrompre ses études. En outre, si elle rencontrait des difficultés d'élocution dues à la fatigue, sa mémoire était bonne. Enfin, elle n'alléguait pas avoir subi des conséquences psychologiques du traumatisme subi (AARP/167/2020 du 29 avril 2020). 4.4.2.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de l'OLAA (ATF 132 II 117 consid. 2.2.3 ; 124 V 209 consid. 4.cc ; 116 V 156 consid. 3). Selon la table 8 applicable aux atteintes à l'intégrité pour les complications psychiques des lésions cérébrales, le taux est de 10% pour des atteintes minimes à modérées et de 20% pour des atteintes modérées. 4.4.3. En cas d'atteinte minime à modérée, il y a une discrète diminution des fonctions cognitives isolées décelable seulement lors de sollicitations importantes ou à l'aide de test neuropsychologiques. Il n'y pas d'altération de la personnalité ou alors une altération que lors de sollicitations importantes. Le patient peut se sentir gêné subjectivement mais son fonctionnement dans la vie quotidienne ou face à la majeure partie de ses exigences professionnelles est intact. Lors de situations éprouvantes, une légère diminution des performances peut être observée. Dans des professions requérant des facultés cognitives élevées, le fonctionnement peut être diminué (Table</w:t>
      </w:r>
    </w:p>
    <w:p>
      <w:r>
        <w:rPr>
          <w:b/>
        </w:rPr>
        <w:t>E. 4.6</w:t>
      </w:r>
    </w:p>
    <w:p>
      <w:r>
        <w:t>La jurisprudence admet qu'une IpAI selon l'art. 24 LAA inclut pour partie la réparation du tort moral. En vertu de l'art. 72 de la loi fédérale sur la partie générale du droit des assurances sociales (LPGA), l'assureur social est subrogé dans les droits</w:t>
      </w:r>
    </w:p>
    <w:p>
      <w:r>
        <w:t>- 27/34 - P/17408/2019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moment-là (ATF 125 II 265 consid. 2d ; arrêt du Tribunal fédéral 4A_307/2008 du 27 novembre 2008 consid. 3.1.3). L'obtention, par le lésé, de prestations d'assurance sociale couvrant tout ou partie du tort moral constitue une objection, dans la mesure où elle supprime sa qualité pour agir à concurrence des prestations d'assurance sociale pour lesquelles l'assureur social est subrogé. Il incombe par conséquent au prévenu de prouver que tel assureur social est subrogé à concurrence de telles prestations aux droits du lésé et que la qualité pour agir de ce dernier est limitée en conséquence au tort moral non couvert par ces prestations d'assurance sociale. Il s'agit en effet là d'un fait dirimant qui doit être prouvé par la partie adverse du titulaire du droit (arrêt du Tribunal fédéral 6B_546/2011 du 12 décembre 2011 consid. 2.3). 4.7.1. En l'espèce, les graves lésions causées à l'appelant joint du fait de l'accident sont établies par le dossier et les certificats médicaux versés à la procédure. Victime d'un accident de la circulation, il a subi un traumatisme cranio-cérébral avec des contusions du cerveau dans la région temporale et frontale à gauche, des lésions axonales diffuses, une hémorragie sous-arachnoïdienne entre le crâne et le cerveau ainsi que des fractures, notamment de la clavicule, une chirurgie de stabilisation ayant été nécessaire, et de trois côtes. Il a été hospitalisé durant plus d'un mois, avant d'être pris en charge par l'hôpital de jour du 15 août au 15 novembre 2019. Il suit depuis un traitement ambulatoire. S'il a favorablement évolué depuis l'accident, persistent une fatigabilité, à savoir une diminution des performances lors de tâches mentales et physiques (manque d'endurance), ainsi qu'une irritabilité, qui se manifeste dans les tâches les plus intenses. Ces symptômes, avec altération subséquente des capacités cognitives et physiques, surgissent encore à l'heure actuelle lors de la reprise professionnelle, ce qui ne lui a permis de reprendre son activité qu'à 80% seulement (après une lente augmentation de son taux), malgré les efforts intenses que lui-même, notamment en terme de planification du temps, et ses thérapeutes déploient. A cela s'ajoute qu'étant indisposé par le bruit, il porte des protections auditions. Cet accident a également bouleversé l'équilibre familial du plaignant, dans la mesure où son comportement a changé et où il doit renoncer à certaines activités. L'atteinte à l'intégrité physique de</w:t>
      </w:r>
    </w:p>
    <w:p>
      <w:r>
        <w:t>- 28/34 - P/17408/2019 l'appelant semble sérieuse et durable au point qu'une demande de prestations AI a été déposée en 2019. Ces éléments représentent une atteinte que l'on peut qualifier de modérée de l'ordre de 20% du montant maximum du gain assuré, soit un montant de CHF 29'640.-. Une fatigabilité a été décelée lors de tâches mentales et physiques, non seulement lors de sollicitations importantes. En outre, que ce soit dans sa vie professionnelle ou privée, son fonctionnement a été diminué, il ne travaille plus qu'à temps partiel (80% au lieu de 100% initialement) et a été contraint de modifier son emploi de temps. Plus irritable, sa personnalité a également été altérée, comme l'a noté son entourage. 4.7.2. Au titre des éléments particuliers - ne découlant pas de l'atteinte objective d'ores et déjà retenue dans la première phase - à prendre en considération dans la seconde phase, il y a lieu d'apprécier ceux qui suivent et entraînent une augmentation du montant en raison : - de l'atteinte à sa qualité de vie quotidienne : il suit encore un traitement ambulatoire, porte des protections auditives, doit faire d'intenses efforts pour maintenir son activité professionnelles, mais également en terme de planification de son temps ; - de l'atteinte à ses projets d'avenir professionnel, dans la mesure où il ne peut envisager une promotion. Dès lors, il apparaît justifié de retenir à ce stade, un tort moral de CHF 35'000.-, ce montant traduisant une augmentation d'environ 20% de celui précédemment retenu. Cette somme se situe en outre dans la fourchette haute des indemnités usuellement allouées dans des cas "similaires", selon la casuistique rappelée plus haut. Elle se révèle en cela adéquate, ex aequo et bono, eu égard aux particularités présentées. 4.7.3. Reste à trancher l'éventuelle faute concomitante de l'appelant joint, comme l'ont retenue les premiers juges, celle-ci justifiant, à leur avis, une réduction de 15% des prétentions. Si la Cour n'a en définitive pas retenu que ce dernier avait tardé dans sa manœuvre, il a néanmoins été tenu pour établi qu'il n'avait pas annoncé sa volonté de changer de voie, violant de la sorte les art. 34 al. 3 et 39 al. 1 let. a LCR (voir supra ch. 2.4.3), ce qui constitue une faute très légère et commune. Le cyclomotoriste était en effet seul à avoir accès à la voie du tram, voie qu'il était en train de regagner après avoir été contraint de la quitter en raison des travaux, sans devoir s'attendre à ce qu'un motocycliste se trouve à sa droite. Ce comportement est par ailleurs en lien de causalité naturelle et adéquate avec l'accident.</w:t>
      </w:r>
    </w:p>
    <w:p>
      <w:r>
        <w:t>- 29/34 - P/17408/2019 La CPAR considère partant qu'il se justifie de retenir une faute concomitante du cyclomoteur à hauteur de 10%. 4.7.4. Ainsi, le prévenu sera condamné à payer à l'appelant joint, à titre de tort moral, le montant arrêté à CHF 30'000.-, avec intérêts à 5% dès le 1er juillet 2019, compte tenu des conclusions de ce dernier en ce sens. L'appel joint sera, partant, admis et le jugement entrepris réformé en ce sens, étant précisé qu'en l'absence de preuve de versement d'une IpAI au lésé, il ne se justifie aucunement de mettre en œuvre ou de consigner le mécanisme de subrogation prévu par la LPGA. Le présent arrêt sera néanmoins transmis, à des fins d'information et de traitement éventuel, à l'assurance-accidents de l'intéressé.</w:t>
      </w:r>
    </w:p>
    <w:p>
      <w:r>
        <w:rPr>
          <w:b/>
        </w:rPr>
        <w:t>E. 4.8</w:t>
      </w:r>
    </w:p>
    <w:p>
      <w:r>
        <w:t>Malgré l'ampleur de la faute concomitante retenue supra (voir ch. 4.7.3), réduite de 15% à 10%, les autres postes de dommages allégués ne seront pas amplifiés, compte tenu de l'absence d'appel du lésé, de son assureur et/ou du MP sur ces points et de l'interdiction de la reformatio in pejus (at. 391 al. 2 CPP). L'appel du prévenu sera donc rejeté. 5. L'appel joint ayant été admis, l'appelant, qui succombe, supportera les frais de la procédure envers l'Etat, qui comprennent dans leur totalité un émolument de CHF 3'500.- (art. 14 al. 1 let. e du règlement fixant le tarif des frais en matière pénale [RTFMP] et 428 al. 2 let. b CPP). 6. 6.1.1. 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6.1.2. 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Cette disposition ne vise pas à réparer le dommage subi par la partie plaignante ensuite de l'infraction, mais s'attache au remboursement de ses débours (T. BÜCHLI, Commentaire de</w:t>
      </w:r>
    </w:p>
    <w:p>
      <w:r>
        <w:t>- 30/34 - P/17408/2019 l'arrêt du Tribunal fédéral 6B_47/2017 du 13 décembre 2017 consid. 2.2.4 destiné à la publication, in Revue de l'avocat 2018, p. 90 ; ATF 143 IV 495, consid. 2.2.4.). La notion de juste indemnité de l'art. 433 CPP ne se confond pas avec celle des prétentions civiles, tendant notamment à la réparation du dommage, mais est spécialement réglée par l'art. 433 CPP (ATF 143 IV 495 consid. 2.2.4 ; L. MOREILLON / A. PAREIN-REYMOND, Petit commentaire CPP, 2e éd., Bâle 2016, n. 6 ad art. 433 CPP).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arrêts du Tribunal fédéral 6B_524/2017 du 22 novembre 2017 consid. 2.1 ; 6B_864/2015 du 1er novembre 2016 consid. 3.2 ; 6B_159/2012 du 22 juin 2012 consid. 2.3). 6.1.3.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 2C_25/2008 du 18 juin 2008 consid. 3, en matière d'assistance juridique, faisant référence aux tarifs usuels d'un conseil de choix à Genève ; AARP/125/2012 du 30 avril 2012 consid. 4.2 ; ACPR/178/2015 du 23 mars 2015 consid. 2.1). 6.2. Au vu de sa culpabilité, les conclusions en indemnisation de l'appelant seront rejetées (art. 429 al. 1 CPP a contrario). 6.3. La partie plaignante obtient gain de cause, au sens de l'art. 433 al. 1 CPP, si bien que le principe de l'indemnisation de ses dépenses nécessaires pour la procédure de première instance et d'appel lui est acquis. 6.3.1. La note d'honoraires pour la procédure préliminaire et de première instance n'est contestée que dans la mesure où l'appelant considère qu'il y aurait lieu de tenir compte de la faute concomitante de la victime afin de réduire le montant de l'indemnisation de cette dernière.</w:t>
      </w:r>
    </w:p>
    <w:p>
      <w:r>
        <w:t>- 31/34 - P/17408/2019 Or, la notion de juste indemnité ne pouvant être assimilée à celle de prétentions civiles, le critère de la faute concomitante n'entre en réalité qu'indirectement en compte pour apprécier le "gain de cause" de l'art. 433 al. 1 let. a CPP. Dès lors que la décision sur les frais préjuge la question de l'indemnisation (ATF 137 IV 352 consid. 2.4.2 p. 357) et qu'aucun frais de procédure ne saurait être mis à la charge de la partie plaignante (art. 427 al. 1 CPP a contrario), il ne se justifie pas de réduire la juste indemnité octroyée pour les dépenses obligatoires occasionnées par la procédure. 6.3.2. Le même raisonnement peut être appliqué en appel, dans la mesure où la partie plaignante ne supporte aucun frais (voir supra ch. 5). L'activité déployée en appel, correspondant à 14h d'activité au tarif horaire de CHF 450.-, soit CHF 6'300.- hors TVA, est en adéquation avec la nature et la difficulté de l'affaire. Au vu de ce qui précède, elle sera arrêtée à CHF 6'785.10, TVA à 7.7% comprise (CHF 485.10). * * * * *</w:t>
      </w:r>
    </w:p>
    <w:p>
      <w:r>
        <w:t>- 32/34 - P/17408/2019</w:t>
      </w:r>
    </w:p>
    <w:p>
      <w:r>
        <w:rPr>
          <w:b/>
        </w:rPr>
        <w:t>E. 8</w:t>
      </w:r>
    </w:p>
    <w:p>
      <w:r>
        <w:t>ch. 3.2.). 4.4.4 Une atteinte modérée correspond à une légère diminution de certaines fonctions cognitives. Sont touchées en particulier l'attention soutenue, la mémorisation lors d'exigences accrues, ou certaines fonctions exécutives complexes (planification, résolution de problèmes). Parmi les autres troubles psychiques sont mentionnés une</w:t>
      </w:r>
    </w:p>
    <w:p>
      <w:r>
        <w:t>- 26/34 - P/17408/2019 discrète altération de la personnalité induite par de légers troubles de l'élan ou de l'affect, ou de légers troubles de la faculté critique. Le patient agit dans son milieu social de façon pratiquement inchangée. L'exercice de l'ancienne activité professionnelle est possible. Pour les professions requérant des facultés cognitives élevées, le fonctionnement est diminué (Table 8 ch. 3.3.). 4.5.1. 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(ATF 131 III 12 consid. 8 ;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Ib 155 consid. 2b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(ATF 141 V 51 consid. 9.2 ; 138 III 252 consid. 2.1) – suppose que le comportement reproché au lésé soit en rapport de causalité naturelle et adéquate avec la survenance du préjudice (ATF 126 III 192 consid. 2d ; arrêts du Tribunal fédéral 6B_1266/2018 du</w:t>
      </w:r>
    </w:p>
    <w:p>
      <w:r>
        <w:rPr>
          <w:b/>
        </w:rPr>
        <w:t>E. 12</w:t>
      </w:r>
    </w:p>
    <w:p>
      <w:r>
        <w:t>mars 2019 consid. 5.2.1 ; 4A_66/2010 du 27 mai 2010 consid. 2.3). 4.5.2. Dans un arrêt 6B_987/2017 du 12 février 2018, le Tribunal fédéral a confirmé une réduction de 20% pour faute concomitante de l'indemnité pour tort moral accordée au piéton, grièvement blessé alors qu'il traversait un passage piétons à la phase rouge pour rejoindre un bus à l'arrêt, par un automobiliste circulant en soirée à une vitesse ahurissante au centre-ville de Genève. La CPAR avait à bon droit relativisé la faute du piéton dès lors que le choc entre le véhicule et celui-ci n'avait pas résulté d'une traversée de la route inopinée, mais bien plutôt d'une perte totale de maîtrise du véhicule automobile impliqué due à sa vitesse excessive et au coup de volant à l'aveugle de son conducteur.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