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AARP/296/2013 vom 18. Juni 2013</w:t>
      </w:r>
    </w:p>
    <w:p>
      <w:r>
        <w:t>GE Cour de justice, 2013-06-18, FR</w:t>
      </w:r>
    </w:p>
    <w:p>
      <w:r>
        <w:rPr>
          <w:b/>
        </w:rPr>
        <w:t xml:space="preserve">Quelle: </w:t>
      </w:r>
      <w:r>
        <w:t>https://mcp.opencaselaw.ch/entscheid/ge_gerichte_AARP_296_2013</w:t>
      </w:r>
    </w:p>
    <w:p>
      <w:r>
        <w:t>FR: GE_GERICHTE AARP/296/2013 du 18 juin 2013</w:t>
      </w:r>
    </w:p>
    <w:p>
      <w:r>
        <w:t>IT: GE_GERICHTE AARP/296/2013 del 18 giugno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En l'espèce, l'appelant conteste seulement la nature de la peine qui lui a été infligée en première instance pour l'infraction à la LEtr. Il ressort toutefois de l'extrait de son casier judiciaire actualisé qu'après la clôture de l'instruction de l'appel, il a été condamné par le Ministère public, le 25 janvier 2013, pour séjour illégal et que la période pénale visée par cette décision entrée en force de chose jugée va du 21 novembre 2007 jusqu'au 25 janvier 2013 et comprend donc celle faisant l'objet de la présente procédure, allant du 5 avril au 3 août 2011. Le principe ne bis in idem, corollaire de l'autorité de la chose jugée attachée au jugement antérieur, interdit qu'une personne soit pénalement poursuivie deux fois pour les mêmes faits (ATF 119 Ib 311 consid. 3a p. 318 et 116 IV 262 consid. 3 et 4 p. 264). Il découle de l'art. 1 CP et est désormais explicitement ancré à l'art. 11 al. 1 CPP. Il ne peut être invoqué qu'à la condition d'une identité des faits retenus, de la personne visée et de la procédure. En effet, l'application de ce principe suppose que la procédure soit dirigée contre la même personne, qu'il s'agisse du même comportement répréhensible, que celui-ci ait été l'objet d'une première procédure et que les biens juridiquement protégés soient identiques (A. KUHN / Y. JEANNERET (éds), Commentaire romand : Code de procédure pénale suisse, Bâle 2011, n. 8 ad art. 11).</w:t>
      </w:r>
    </w:p>
    <w:p>
      <w:r>
        <w:t>- 8/13 - P/3536/2012 Ces conditions étant réalisées en l'occurrence et les deux exceptions à l'interdiction de la double poursuite prévues à l'art. 11 al. 2 CPP ne l'étant pas, il convient d'acquitter l'appelant du chef d'infraction à l'art. 115 al. 1 let. b LEtr, en application de l'art. 404 al. 2 CPP.</w:t>
      </w:r>
    </w:p>
    <w:p>
      <w:r>
        <w:rPr>
          <w:b/>
        </w:rPr>
        <w:t>E. 3</w:t>
      </w:r>
    </w:p>
    <w:p>
      <w:r>
        <w:t>3.1.1 En vertu de l'art. 429 al. 1 CPP, si le prévenu est acquitté totalement ou en partie, il a droit à une indemnité pour les dépenses occasionnées par l'exercice raisonnable de ses droits de procédure (let. a), pour le préjudice économique subi (let. b) et en réparation du tort moral subi en raison d'une atteinte particulièrement grave à sa personnalité, notamment en cas de privation de liberté (let. c). 3.1.2 S'agissant des frais de défense, l'indemnité est due pour autant que l'assistance d'un avocat ait été nécessaire, compte tenu de la complexité de l'affaire en fait ou en droit, et que l'activité déployée par celui-ci soit justifiée (Message relatif à l'unification du droit de la procédure pénale (CPP) du 21 décembre 2005, FF 2006 1309, p. 1313; ATF 138 IV 197 consid. 2.3.4 p. 203). L'indemnisation n'est pas due uniquement dans les cas de défense obligatoire au sens de l'art. 130 CPP ou de défense d'office selon l'art. 132 CPP (ATF précité consid. 2.3.3 p. 202). Une partie de la doctrine prône qu'aussitôt qu'une procédure touchant à un crime ou à un délit n'est pas classée suite à l'audition du prévenu, celui-ci a droit à l'assistance d'un avocat (M. NIGGLI / M. HEER / H. WIPRÄCHTIGER, Schweizerische Strafprozessordnung / Schweizerische Jugendstrafprozessordnung, Basler Kommentar StPO/JStPO, Bâle 2011, n. 14 ad art. 429). Le Tribunal fédéral a récemment eu l'occasion de préciser que si, dans les cas juridiquement simples, l'activité de l'avocat doit se limiter au minimum, soit tout au plus à une simple consultation, il convenait en revanche de considérer, dans les cas de crimes ou de délits, que le recours à un avocat ne pouvait qu'exceptionnellement être considéré comme un exercice non raisonnable des droits d'une partie au sens de l'art. 429 al. 1 let. a CPP (ATF 138 IV 197 consid. 2.3.5 p. 203 s).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ACPR/179/2012 du 2 mai 2012). Ceux-ci se calculent selon le tarif local, à condition qu'ils restent proportionnés (N. SCHMID, Schweizerische Strafprozessordnung : Praxiskommentar, Zurich 2009, n. 7 ad art. 429). Le prévenu peut faire valoir tous les frais liés à la défense de ses intérêts, donc aussi les débours (photocopies et frais de port), frais de traductions ou d'expertises privées, pour autant qu'ils se soient révélés nécessaires (TC VD, Cour d'appel pénale, décision n° 85 du 7 juillet 2011). Les démarches superflues, abusives ou excessives ne sont pas indemnisées (ATF 115 IV 156 consid. 2d p. 160). Le juge dispose d'une marge d'appréciation à cet égard, mais ne devrait pas se montrer trop exigeant dans l'appréciation rétrospective qu'il</w:t>
      </w:r>
    </w:p>
    <w:p>
      <w:r>
        <w:t>- 9/13 - P/3536/2012 porte sur les actes nécessaires à la défense du prévenu. S'il s'écarte notablement de la note d'honoraires présentée, il doit en motiver les raisons (M. NIGGLI / M. HEER / H. WIPRÄCHTIGER, op. cit., n. 18 et 19 ad art. 429). Une diminution de 60 %, sans motivation suffisante, est arbitraire (arrêt du Tribunal fédéral 6B_434/2008 du 29 octobre 2008 consid. 3.2.2 non publié in ATF 135 IV 43).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3.1.3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est de CHF 100.- (ACJP/226/2010 du 22 novembre 2010)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A. KUHN / Y. JEANNERET, op. cit., n. 48 ad art. 429). Ce montant peut ensuite être modifié en fonction des circonstances particulières, telles que la sensibilité du prévenu, le retentissement de la procédure sur son entourage ou la publicité particulière ayant entouré l'affaire. 3.1.4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p. 154).</w:t>
      </w:r>
    </w:p>
    <w:p>
      <w:r>
        <w:t>- 10/13 - P/3536/2012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 Si des peines de nature différente sont prononcées en même temps, la détention avant jugement doit être imputée sur la peine principale, indépen- damment du fait que celle-ci soit assortie du sursis ou non. Ainsi, la détention sera imputée en premier lieu sur la peine privative de liberté, puis sur la peine pécuniaire et enfin sur l'amende (ATF 135 IV 125 consid. 1.3.6 ss p. 129 ss). 3.1.5 En vertu de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d'abord être imputée sur une peine privative de liberté, puis sur une peine pécuniaire et enfin sur l'amende, (Message p. 1314 ; ATF 135 IV 125 consid. 1.3 p. 127 ss ; 133 IV 150 consid. 5 p. 154 s ; A. KUHN / Y. JEANNERET, op. cit., n. 50 ad art. 429 et n. 16 à 18 ad art. 431 ; L. MOREILLON / A. PAREIN-REYMOND, Code de procédure pénale : CPP (Petit commentaire), Bâle 2013, n. 12 à 15 ad art. 431 ; A. DONATSCH / T. HANSJAKOB / V. LIEBER (éds), Kommentar zur Schweizerischen Strafprozessordnung (StPO), Zurich 2010, n.</w:t>
      </w:r>
    </w:p>
    <w:p>
      <w:r>
        <w:rPr>
          <w:b/>
        </w:rPr>
        <w:t>E. 5</w:t>
      </w:r>
    </w:p>
    <w:p>
      <w:r>
        <w:t>ad art. 431). 3.2.1 Si l'on excepte l'amende de CHF 30.- qui lui a été infligée pour contravention à la LStup, non contestée en appel, le prévenu a été acquitté des autres infractions qui lui étaient reprochées, de sorte que le principe d'une indemnisation lui est acquis. 3.2.2 Il convient également d'admettre que le recours à un avocat correspondait en l'occurrence à un exercice raisonnable de ses droits de procédure au sens de l'art. 429 al. 1 let. a CPP. Au vu des notes d'honoraires produites, l'activité exercée par son conseil pour la défense de ses intérêts dans le cadre de la présente procédure apparaît pour l'essentiel en adéquation avec la nature, l'importance et la difficulté, toute relative, de la cause, sauf s'agissant de deux postes. Il s'agit tout d'abord de l'activité déployée en lien avec les recours formés contre la décision du Ministère public refusant de nommer son avocat d'office pour la défense de ses intérêts, puisque, comme l'ont relevé successivement la Chambre des recours dans son arrêt n° ACPR/280/2011 du 10 octobre 2011, puis, suite au recours interjeté contre cette décision, le Tribunal fédéral dans son arrêt 1B_644/2011 du 23 décembre 2011, les conditions prévues par l'art. 132 al. 2 et 3 CPP pour une défense</w:t>
      </w:r>
    </w:p>
    <w:p>
      <w:r>
        <w:t>- 11/13 - P/3536/2012 d'office, dispositions concrétisant la jurisprudence développée par le Tribunal fédéral et la Cour EDH, n'étaient clairement pas réalisées en l'espèce. En effet, ces autorités ont en substance relevé que le prévenu n'était pas exposé à une peine privative de liberté de plus de 45 jours, correspondant à moins de la moitié de la limite de 120 jours fixée par la loi pour admettre qu'un cas n'est pas de peu de gravité, et que l'affaire ne présentait aucune difficulté particulière dans la mesure où la seule question litigieuse était une question de fait, soit la participation du recourant à l'infraction de vol contestée, le fait que l'intéressé, qui parlait français, était étranger et sans connaissance juridique ne pouvant justifier l'intervention d'un avocat. C'est d'ailleurs pour ces raisons que la Chambre des recours a souligné que le "recours frise la témérité" et que le Tribunal fédéral a conclu que "cette issue (soit le rejet du recours) était d'emblée prévisible, ce qui conduit au rejet de la demande d'assistance juridique", les frais judiciaires, réduits à CHF 500.- pour tenir compte de la situation financière du recourant, étant en outre mis à sa charge. Ainsi, il convient de retrancher 5h45 d'activité de la note produite et d'exclure des débours réclamés les CHF 500.- susmentionnés. En second lieu, il n'apparaît pas admissible d'exiger un "forfait courriers et téléphones de 20 %", tout en facturant séparément l'activité liée à la rédaction de certaines correspondances, comme celle relative à l'annonce et à la déclaration d'appel ou à l'opposition à l'ordonnance pénale ou encore aux autres courriers et téléphones mentionnés dans l'état de frais de première instance, de sorte qu'il convient de déduire 3h supplémentaires sur les honoraires invoqués. Le taux horaire réclamé de CHF 400.-, respectivement CHF 200.-, apparaît conforme aux tarifs pratiqués à Genève. Ainsi, il convient d'indemniser l'appelant à hauteur de CHF 7'516,80, correspondant à CHF 5'800.- d'honoraires (12h45 à CHF 400.- pour la première instance et 3h30 à CHF 200.- pour l'appel), augmentés du forfait de 20 % (CHF 1'160.-), puis de la TVA à 8 % (CHF 556,80), auxquels s'ajoutent CHF 56.- de débours. Des intérêts moratoires n'ayant pas été réclamés, il n'y a pas lieu d'en allouer. 3.2.3 Si, dans sa déclaration d'appel, le prévenu a déclaré contester le jugement en tant qu'il avait rejeté ses prétentions en indemnisation, il n'a invoqué, dans son mémoire d'appel, que le refus de lui allouer ses frais de défense. Il apparaît ainsi que l'appelant a renoncé à faire valoir sa requête tendant à l'octroi d'une indemnité de CHF 1'500.- à titre de tort moral. Au demeurant, les motifs invoqués ne sont pas de nature à admettre l'existence d'une atteinte à sa personnalité d'une intensité telle qu'elle justifierait l'allocation d'une somme supérieure à CHF 100.- par jour de détention injustifiée, de sorte que, sous cette réserve, la prétention précitée n'est pas fondée. Même si le prévenu a concrètement été privé de sa liberté durant moins de 24 heures, le premier juge a tenu compte de 2 jours de détention avant jugement et des 6 jours effectués en trop dans le cadre de la précédente procédure pour les déduire de la</w:t>
      </w:r>
    </w:p>
    <w:p>
      <w:r>
        <w:t>- 12/13 - P/3536/2012 peine privative de liberté prononcée. Il n'y a cependant pas lieu d'indemniser tout ou partie de ces jours de détention, puisque, en application des principes déduits de l'art. 51 CP et de l'art. 431 al. 2 CPP, il convient de les déduire de la peine pécuniaire de 90 jours-amende prononcée le 25 janvier 2013 par le Ministère public, étant précisé qu'ils correspondent à 8 jours-amende. 3.2.4 Ainsi, il convient d'annuler le jugement entrepris sauf pour ce qui a trait à la contravention à la LStup, de libérer l'appelant des fins de la poursuite du chef de séjour illégal et de l'indemniser pour ses frais de défense, tout en ordonnant l'imputation des 8 jours de détention excessive sur la dernière peine prononcée. 4. Vu l'issue de la procédure, les frais de première instance et d'appel seront laissés à la charge de l'État (art. 428 CPP a contrario).</w:t>
      </w:r>
    </w:p>
    <w:p>
      <w:r>
        <w:t>* * * * *</w:t>
      </w:r>
    </w:p>
    <w:p>
      <w:r>
        <w:t>- 13/13 - P/3536/2012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