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AARP/295/2016 vom 22. Juli 2016</w:t>
      </w:r>
    </w:p>
    <w:p>
      <w:r>
        <w:t>GE Cour de justice, 2016-07-22, FR</w:t>
      </w:r>
    </w:p>
    <w:p>
      <w:r>
        <w:rPr>
          <w:b/>
        </w:rPr>
        <w:t xml:space="preserve">Quelle: </w:t>
      </w:r>
      <w:r>
        <w:t>https://mcp.opencaselaw.ch/entscheid/ge_gerichte_AARP_295_2016</w:t>
      </w:r>
    </w:p>
    <w:p>
      <w:r>
        <w:t>FR: GE_GERICHTE AARP/295/2016 du 22 juillet 2016</w:t>
      </w:r>
    </w:p>
    <w:p>
      <w:r>
        <w:t>IT: GE_GERICHTE AARP/295/2016 del 22 luglio 2016</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- 9/24 - P/22344/2014</w:t>
      </w:r>
    </w:p>
    <w:p>
      <w:r>
        <w:t>La Chambre limite son examen aux violations décrites dans l'acte d'appel (art. 404 al. 1 CPP), sauf en cas de décisions illégales ou inéquitables (art. 404 al. 2 CPP), ce qui est le cas en l'espèce (cf. infra, 2.2.2.).</w:t>
      </w:r>
    </w:p>
    <w:p>
      <w:r>
        <w:t>1.2.1.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1.2.2.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Il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w:t>
      </w:r>
    </w:p>
    <w:p>
      <w:r>
        <w:t>- 10/24 - P/22344/2014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1.2.3. Conformément à l'art. 6 § 3 let. d CEDH, tout accusé a le droit d'interroger ou de faire interroger les témoins à charge. Il s'agit d'un des aspects du droit à un procès équitable institué à l'art. 6 § 1 CEDH. Cette garantie exclut qu'un jugement pénal soit fondé sur les déclarations de témoins sans qu'une occasion appropriée et suffisante soit au moins une fois offerte au prévenu de mettre ces témoignages en doute et d'interroger les témoins (ATF 131 I 146 consid. 2.2 p. 480 ; ATF 129 I 151 consid. 3.1 p. 153 et les références citées). Ce droit n'est toutefois absolu que lorsque le témoignage litigieux est déterminant, à savoir lorsqu'il constitue la seule preuve ou pour le moins une preuve essentielle (ATF 131 I 476 consid. 2.2 p. 481 ; ATF 129 I 151 consid. 3.1 p. 154 et les arrêts cités. L'accusé ne peut en principe exercer qu'une seule fois le droit d'interroger ou de faire interroger les témoins à charge (ATF 125 I 127 consid. 6c/ee p. 136 et les arrêts cités). Il n'est pas exclu de prendre en compte des dépositions recueillies durant la phase de l'enquête, pour autant que l'accusé ait disposé d'une occasion adéquate et suffisante de contester ces témoignages à charge et d'en interroger ou d'en faire interroger les auteurs (ATF 125 I 127 consid. 6b p. 132 et les arrêts cités). Ainsi, lorsqu'il n'est plus possible de faire procéder à une audition contradictoire en raison du décès, de l'absence ou d'un empêchement durable du témoin, la déposition recueillie au cours de l'enquête peut être prise en considération alors même que l'accusé n'aurait pas eu</w:t>
      </w:r>
    </w:p>
    <w:p>
      <w:r>
        <w:t>- 11/24 - P/22344/2014 l'occasion d'en faire interroger l'auteur, mais à condition qu'elle soit soumise à un examen attentif, que l'accusé puisse prendre position à son sujet et que le verdict de culpabilité ne soit pas fondé sur cette seule preuve (ATF 131 I 476 consid. 2.2 p. 480 ss ; arrêt du Tribunal fédéral 6B_704/2012 du 3 avril 2013 consid. 2.2). 1.2.4.1. Selon l'art. 68 al.1 in limine CPP, la direction de la procédure fait appel à un traducteur ou un interprète lorsqu'une personne participant à la procédure ne comprend pas la langue de la procédure ou n'est pas en mesure de s'exprimer suffisamment bien dans cette langue. La police dispose également de ce droit (D. EQUEY, L'interprète et le traducteur dans la procédure pénale, SJ 2013 II 429/430 et les références citées). 1.2.4.2. En l'espèce, l'appelant prétend que ses auditions à la police seraient inexploitables, faute d'avoir bénéficié de l'assistance d'un interprète et/ou d'un avocat. Or, il ressort des procès-verbaux des auditions des 14 novembre 2014 et 27 janvier 2015 qu'il a déclaré avoir pris connaissance de ses droits, ne pas avoir besoin d'un traducteur, ni souhaiter la présence d'un avocat. Il a de plus signé la formule énumérant les droits et obligations du prévenu. Certes, l'appelant a été assisté d'un interprète lors de sa première audition au Ministère public, le 18 février 2015, suite à la demande de son avocat. Il ne l'a toutefois pas été lors de la seconde, le 19 mai 2015, lors de laquelle il a été confronté au témoin I______, sans que son défenseur d'office ne s'en plaigne. La convocation portait de plus mention, en français et en anglais, de la possibilité de requérir les services d'un interprète. Lors des audiences ultérieures au Tribunal de police et à la CPAR, l'appelant s'est exprimé en français, sans difficulté et sans que son conseil n'émette de grief à cet égard. Il est dès lors établi que l'appelant comprend cette langue, étant encore précisé que les éléments à charge ne découlent pas de ses déclarations. Ce grief, intervenant de surcroît tardivement, frise la témérité, et sera écarté.</w:t>
      </w:r>
    </w:p>
    <w:p>
      <w:r>
        <w:rPr>
          <w:b/>
        </w:rPr>
        <w:t>E. 1.3</w:t>
      </w:r>
    </w:p>
    <w:p>
      <w:r>
        <w:t>Il est établi par les observations policières que, le 27 janvier 2015, une toxicomane est entrée en contact avec l'appelant, à la hauteur de la banque ___, sise rue du D______ 28, emplacement auquel il a été observé à réitérées reprises par le gendarme I______. Ces observations établissent également qu'un second cocaïnomane a abordé l'appelant, le même jour, au même endroit et dans des circonstances identiques. Le témoin E______ a admis avoir acquis, auprès d'un dealer portant un bonnet noir et pompon orange, une boulette d'un gramme de cocaïne pour la somme de CHF 80.-</w:t>
      </w:r>
    </w:p>
    <w:p>
      <w:r>
        <w:t>- 12/24 - P/22344/2014 qu'il a payée avec trois coupures de CHF 10.-, CHF 20.- et CHF 50.-, liasses qui, à teneur du rapport d'intervention, ont été retrouvées en possession de l'appelant lors de son interpellation. Le témoin I______ a confirmé ces constatations sans qu'aucun élément tangible ne permette d'en douter. L'appelant n'a pas contesté avoir porté un bonnet noir au pompon orange le jour des faits. Il a lui-même évoqué un couvre-chef, sans en préciser la couleur, ce qui, selon ses dires, aurait amené les policiers à le confondre avec un compatriote. Cette hypothèse, nullement étayée, n'est pas convaincante, dans la mesure où il est fort peu probable qu'un autre individu africain se trouvât au même endroit, au même moment, avec un bonnet à ce point similaire à celui de l'appelant qu'il induise des gendarmes en erreur. Nonobstant le défaut de confrontation, la déposition du témoin E______ peut être retenue à charge, dès lors qu'elle est corroborée par ces autres éléments. Les explications de l'appelant, notamment sur les raisons de sa présence à Genève, les motifs de sa fuite ou encore ses moyens de subsistance, sont au demeurant dénuées de toute crédibilité, celui-ci n'ayant cessé de se contredire et d'adapter ses déclarations à l'évolution de la procédure. Le témoin F______ a clairement reconnu l'appelant sur planche photographique comme étant son dealer. Il avait certes refusé de lui vendre une boulette de cocaïne d'un demi-gramme le jour des faits, celui-ci ne disposant que de quantités d'un gramme, mais durant les deux derniers mois, au même endroit, lui avait fourni l'équivalent de 3,5 grammes de drogue, pour un total de CHF 280.-. Ses hésitations subséquentes ne sont pas déterminantes, dans la mesure où elles surviennent un an après les faits, dans un contexte d'addictologie et qu'elles témoignent plutôt d'une certaine honnêteté intellectuelle. Initialement, elle avait bien dit la vérité et effectivement identifié l'individu grâce à son visage, non à sa corpulence. Il n'est dès lors pas pertinent qu'il lui semblât soudain que l'appelant était plus mince que son dealer. À cet égard, on ne saurait reprocher à la police d'avoir préféré présenter au témoin huit clichés sur une planche photographique, dont l'auteur présumé, plutôt que de les mettre en présence l'un de l'autre, ce qui aurait été critiquable car susceptible d'influencer le témoin. Bien que l'appelant ait varié dans ses déclarations relatives à sa consommation de drogue, évoquant de la marijuana, voire de la cocaïne, ingérée depuis 1998, puis en fait depuis 2009, il n'en demeure pas moins qu'il a admis en consommer depuis longtemps, pour environ CHF 100.- par mois.</w:t>
      </w:r>
    </w:p>
    <w:p>
      <w:r>
        <w:t>- 13/24 - P/22344/2014</w:t>
      </w:r>
    </w:p>
    <w:p>
      <w:r>
        <w:t>Les verdicts de culpabilité seront partant confirmés.</w:t>
      </w:r>
    </w:p>
    <w:p>
      <w:r>
        <w:t>1.4.1. À teneur de l'art. 115 al. 1 let. b LEtr, est puni d'une peine privative de liberté d'un an au plus ou d'une peine pécuniaire quiconque séjourne illégalement en Suisse, notamment après l'expiration de la durée du séjour non soumis à autorisation ou du séjour non autorisé.</w:t>
      </w:r>
    </w:p>
    <w:p>
      <w:r>
        <w:t>1.4.2.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Selon la jurisprudence de la CJUE,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w:t>
      </w:r>
    </w:p>
    <w:p>
      <w:r>
        <w:t>- 14/24 - P/22344/2014 la police des étrangers sur sa volonté de quitter la Suisse (arrêt du Tribunal fédéral 6B_713/2012 du 19 avril 2013 consid. 5). La CJUE a toutefois précisé que les ressortissants de pays tiers ayant, outre le délit de séjour irrégulier, commis un ou plusieurs autres délits, pouvaient, le cas échéant, être soustraits au champ d'application de la directive (arrêt du 6 décembre 2011 C- 329/11 Achughbabian, pt 41).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 qui renvoie à l'art. 2 al. 2 let. b Directive).</w:t>
      </w:r>
    </w:p>
    <w:p>
      <w:r>
        <w:t>1.4.3. En l'espèce, il est établi que l'appelant a séjourné en Suisse, du 15 janvier 2009 au 14 novembre 2014 et du 15 décembre 2014 au 27 janvier 2015, démuni de papiers d'identité, de domicile fixe, de moyens de subsistance et sans être au bénéfice des autorisations nécessaires. Il n’est pas nécessaire d'examiner si la décision de non entrée en matière et de renvoi, prononcée le 6 novembre 2002 et entrée en force le 16 décembre 2002, a été notifiée à l'appelant. En effet, sa condamnation pour infractions aux art. 19 al. 1 et 19a LStup, confirmée ce jour, a pour conséquence que la Directive européenne sur le retour n'est pas applicable en l'espèce et que la sanction du séjour illégal constaté est possible. L'appelant ne peut par conséquent tirer aucun avantage de la réglementation européenne, que le Tribunal fédéral a analysé à la lumière de la jurisprudence de la CJUE dans l'arrêt 6B_320/2013 précité. Rien ne permet au demeurant de penser que notre Haute Cour en ferait aujourd'hui une lecture différente.</w:t>
      </w:r>
    </w:p>
    <w:p>
      <w:r>
        <w:t>En conséquence, le verdict du premier juge sera confirmé.</w:t>
      </w:r>
    </w:p>
    <w:p>
      <w:r>
        <w:rPr>
          <w:b/>
        </w:rPr>
        <w:t>E. 1.5</w:t>
      </w:r>
    </w:p>
    <w:p>
      <w:r>
        <w:t>L'appelant ne remet pas en cause, au stade de l'appel, le verdict de culpabilité d'empêchement d'accomplir un acte officiel (art. 286 al. 1. CP), à juste titre, celui-ci étant établi à teneur du dossier, si bien qu'il sera confirmé.</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- 15/24 - P/22344/2014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2.1.2. En matière de trafic de stupéfiants, il y a lieu de tenir compte, plus spécialement, notamment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et la nature du trafic en cause sont aussi déterminants ; l'appréciation est différente selon que l'auteur a agi de manière autonome ou comme membre d'une organisation (ATF 121 IV 202 consid. 2d/cc p. 206). L'étendue du trafic entrera également en considération ; un trafic purement local sera en règle générale considéré comme moins grave qu'un trafic avec des ramifications internationales. Le juge doit distinguer le cas de celui qui est lui- 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ses mobiles, ses antécédents et son comportement lors de la procédure (ATF 121 IV 202 consid. 2d/aa p. 204 ; 118 IV 342 consid. 2d p. 349).</w:t>
      </w:r>
    </w:p>
    <w:p>
      <w:r>
        <w:t>- 16/24 - P/22344/2014 2.1.3.1.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2.1.3.2.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2.1.4.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Le juge doit prendre en considération l'opportunité de la sanction déterminée, ses effets sur l'auteur et son milieu social, ainsi que son efficacité préventive (ATF 134 IV 197 consid. 4 p. 100 ; arrêts du Tribunal fédéral 6B_714/2015 du 28 septembre 2015 consid. 1.1 et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t>- 17/24 - P/22344/2014</w:t>
      </w:r>
    </w:p>
    <w:p>
      <w:r>
        <w:t>2.1.5.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Le sursis est désormais la règle dont on ne peut s'écarter qu'en présence d'un pronostic défavorable (ATF 134 IV 1 consid. 4.2.2 p. 5-6 ; SJ 2008 I p. 277 consid. 2.1. p. 280).</w:t>
      </w:r>
    </w:p>
    <w:p>
      <w:r>
        <w:t>2.2.1. La faute de l'appelant n'est pas négligeable, puisqu'il a commis des infractions à la LEtr, à la LStup et contre l'autorité. Nonobstant une première interpellation en novembre 2014, il s'est livré à un trafic de stupéfiants, portant à tout le moins sur 4,5 grammes de cocaïne, sur une période de deux mois. Il aurait sans doute persisté dans ses agissements s'il n'avait été interpellé une seconde fois. À chacune des deux occurrences, il a tenté de fuir et a rendu plus compliquée la tâche de la police. Il est resté en Suisse pendant de nombreuses années en l'absence de toute autorisation. Ses mobiles sont purement égoïstes, relevant de l'appât du gain s'agissant des stupéfiants, de la désinvolture face à la législation sur le statut des étrangers et à la mesure qui le frappe, pour le séjour illégal. Il a en outre par deux fois tenté de se soustraire aux forces de l'ordre pour tenter d'échapper à une condamnation, n'assumant pas les conséquences de ses actes. Il y a concours d'infractions entre les délits des art. 19 LStup et 115 LEtr.</w:t>
      </w:r>
    </w:p>
    <w:p>
      <w:r>
        <w:t>Sa collaboration a été mauvaise, tant ses déclarations ont varié. Sa prise de conscience est presque inexistante, l'appelant niant le trafic, à la faveur d'explications fantaisistes, bien qu'il ait finalement admis l'infraction d'empêchement d'accomplir un acte officiel.</w:t>
      </w:r>
    </w:p>
    <w:p>
      <w:r>
        <w:t>Sa situation personnelle, bien que précaire, ne peut justifier ses agissements dans la mesure où elle résulte de son choix de demeurer en Suisse sans droit. La présence illégale de l'appelant en Suisse, démuni de moyens de subsistance, comporte un risque élevé de réitération. L'antécédent de 2009, certes ancien, est spécifique s'agissant de l'infraction à la LStup ; l'appelant n'a d'ailleurs pas hésité à commettre de nouvelles infractions, à l'échéance du délai d'épreuve fixé à trois ans</w:t>
      </w:r>
    </w:p>
    <w:p>
      <w:r>
        <w:t>- 18/24 - P/22344/2014 pour une peine privative de liberté de huit mois. Les occurrences du mois de janvier 2015 sont de plus survenues peu de temps après son interpellation du mois de novembre 2014, sans que cela ne le dissuade d'agir. Au vu de l'ensemble des circonstances, c'est à raison que le premier juge a retenu que les conditions du sursis n'étaient pas réalisées, le pronostic étant clairement défavorable, seule une peine ferme apparaissant apte à le détourner de la commission d'autres infractions. La situation administrative de l'appelant, l'absence de perspective de gain licite et de domicile connu et, dans une moindre mesure, son antécédent, excluent le prononcé d'une peine pécuniaire et d'un travail d'intérêt général, de sorte que c'est également à juste titre qu'une courte peine privative de liberté lui a été infligée (cf. art. 41 al. 1 CP). 2.2.2. La quotité de la peine privative de liberté doit cependant être revue d'office (art. 404 al. 2 CPP), bien que l'appelant ne formule pas de critique spécifique à cet égard. Le premier juge a en effet omis de considérer que l'empêchement d'accomplir un acte officiel était puni d'une peine pécuniaire de 30 jours-amende au plus (art. 286 al. 1 CP). La CPAR estime que cette infraction mérite une quotité de 10 jours, de sorte que la peine privative de liberté sera réduite à 80 jours. Le premier juge aurait dû prononcer une peine pécuniaire pour l'infraction à l'art. 286 CP, en plus de la courte peine privative de liberté. Il y a toutefois concours rétrospectif avec l'infraction sanctionnée le 1___ mars 2016. Une peine pécuniaire de 60 jours-amende paraît globalement adéquate, de sorte que la peine complémentaire se réduit, en l'espèce, à zéro. Le jugement sera partant réformé sur ce point. 2.2.3. L'amende de CHF 100.-, ainsi que la peine privative de liberté de substitution d'un jour, pour l'infraction à l'art. 19a LStup seront maintenues, étant précisé qu'elles n'ont pas été contestées dans leur quotité et sont en adéquation avec les éléments de la procédure.</w:t>
      </w:r>
    </w:p>
    <w:p>
      <w:r>
        <w:rPr>
          <w:b/>
        </w:rPr>
        <w:t>E. 3</w:t>
      </w:r>
    </w:p>
    <w:p>
      <w:r>
        <w:t>3.1.1.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3.1.2. A teneur de l'art. 70 al. 1 CP, le juge prononce la confiscation des valeurs patrimoniales qui sont le résultat d'une infraction ou qui étaient destinées à décider</w:t>
      </w:r>
    </w:p>
    <w:p>
      <w:r>
        <w:t>- 19/24 - P/22344/2014 ou à récompenser l'auteur d'une infraction, si elles ne doivent pas être restituées au lésé en rétablissement de ses droits.</w:t>
      </w:r>
    </w:p>
    <w:p>
      <w:r>
        <w:rPr>
          <w:b/>
        </w:rPr>
        <w:t>E. 3.1</w:t>
      </w:r>
    </w:p>
    <w:p>
      <w:r>
        <w:t>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- 21/24 - P/22344/2014</w:t>
      </w:r>
    </w:p>
    <w:p>
      <w:r>
        <w:t>5.2.4. La majoration forfaitaire couvre les démarches diverses, telle que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3.2</w:t>
      </w:r>
    </w:p>
    <w:p>
      <w:r>
        <w:t>Dans la mesure où l'appelant détenait un téléphone portable de marque G______ au moment de son interpellation, et qu'il n'avait pas d'autre revenu que celui provenant de cette activité illégale, la CPAR tient pour établi que cet appareil a été acquis au moyen du produit du trafic de stupéfiants, voire y a participé, étant souligné que l'appelant a tenté de s'en débarrasser lors de sa fuite. Ses déclarations s'agissant des circonstances de son acquisition, non étayées par quelconque pièce, étant loin de convaincre. La confiscation de cet appareil sera partant confirmée. Il en va de même des espèces, CHF 91,65 et EUR 30.-, lesquelles sont, à l'évidence, d'origine délictuelle, l'appelant n'ayant jamais étayé ses dires en relation avec l'amie lausannoise, dont il n'a donné que le nom sans plus de précisions. La CPAR a acquis la conviction que ces montants appartenaient à l'appelant et provenaient du trafic de stupéfiants qui lui est reproché, de sorte qu'ils doivent être confisqués. Le jugement sera confirmé sur ce point.</w:t>
      </w:r>
    </w:p>
    <w:p>
      <w:r>
        <w:rPr>
          <w:b/>
        </w:rPr>
        <w:t>E. 4</w:t>
      </w:r>
    </w:p>
    <w:p>
      <w:r>
        <w:t>L'appelant, qui succombe pour l'essentiel, supportera les trois-quarts des frais de la procédure envers l'État, qui comprennent un émolument de CHF 1'500.- (art. 428 CPP, art. 14 let. e du règlement fixant le tarif des frais en matière pénale du 22 décembre 2010 [RTFMP – E 4 10.03]).</w:t>
      </w:r>
    </w:p>
    <w:p>
      <w:r>
        <w:t>Vu la confirmation du verdict de culpabilité, il n'y a pas lieu de revoir la répartition des frais de première instance (art. 428 al. 3 CPP).</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chef d'étude CHF 200.- (let. c). En cas d'assujettissement, l'équivalent de la TVA est versé en sus.</w:t>
      </w:r>
    </w:p>
    <w:p>
      <w:r>
        <w:t>- 20/24 - P/22344/2014</w:t>
      </w:r>
    </w:p>
    <w:p>
      <w:r>
        <w:t>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w:t>
      </w:r>
    </w:p>
    <w:p>
      <w:r>
        <w:rPr>
          <w:b/>
        </w:rPr>
        <w:t>E. 5.3</w:t>
      </w:r>
    </w:p>
    <w:p>
      <w:r>
        <w:t>En l'espèce, considéré dans sa globalité, l'état de frais produit par le défenseur d'office de A______ paraît adéquat et conforme aux principes qui précèdent, seule l'heure et demie consacrée à la déclaration d'appel devant en être retranchée, dite prestation étant incluse dans le forfait pour l'activité diverse. Une heure sera en outre comptabilisée pour tenir compte de la présence à l'audience d'appel. En conclusion, l'indemnité sera arrêtée à CHF 1'360.80, correspondant à 05h15 d'activité au tarif de CHF 200.-/heure, plus la majoration forfaitaire usuelle de 20% (CHF 210.-), compte tenu de l'activité déployée en première instance, et l'équivalent de la TVA au taux de 8% (CHF 100.80). * * * * *</w:t>
      </w:r>
    </w:p>
    <w:p>
      <w:r>
        <w:t>- 22/24 - P/22344/2014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