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AARP/292/2015 vom 22. Juni 2015</w:t>
      </w:r>
    </w:p>
    <w:p>
      <w:r>
        <w:t>GE Cour de justice, 2015-06-22, FR</w:t>
      </w:r>
    </w:p>
    <w:p>
      <w:r>
        <w:rPr>
          <w:b/>
        </w:rPr>
        <w:t xml:space="preserve">Quelle: </w:t>
      </w:r>
      <w:r>
        <w:t>https://mcp.opencaselaw.ch/entscheid/ge_gerichte_AARP_292_2015</w:t>
      </w:r>
    </w:p>
    <w:p>
      <w:r>
        <w:t>FR: GE_GERICHTE AARP/292/2015 du 22 juin 2015</w:t>
      </w:r>
    </w:p>
    <w:p>
      <w:r>
        <w:t>IT: GE_GERICHTE AARP/292/2015 del 22 giugno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Selon l'art. 10 al. 2 CPP, le tribunal apprécie librement les preuves recueillies selon l'intime conviction qu'il retire de l'ensemble de la procédure, de sorte qu'il y a lieu de</w:t>
      </w:r>
    </w:p>
    <w:p>
      <w:r>
        <w:t>- 6/13 - P/8552/2013 considérer que les déclarations d'un prévenu jugé par voie de procédure simplifiée n'ont que la valeur d'une preuve parmi d'autres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w:t>
      </w:r>
    </w:p>
    <w:p>
      <w:r>
        <w:rPr>
          <w:b/>
        </w:rPr>
        <w:t>E. 2.2</w:t>
      </w:r>
    </w:p>
    <w:p>
      <w:r>
        <w:t>Il y a dol éventuel lorsque l'auteur, qui ne veut pas le résultat dommageable pour lui-même, envisage le résultat de son acte comme possible et l'accepte au cas où il se produirait (ATF 133 IV 9 = JdT 2007 I 573 consid. 4.1 p. 579 ; 131 IV 1 consid. 2.2 p. 4 s;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2ème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t>- 7/13 - P/8552/2013</w:t>
      </w:r>
    </w:p>
    <w:p>
      <w:r>
        <w:rPr>
          <w:b/>
        </w:rPr>
        <w:t>E. 2.3</w:t>
      </w:r>
    </w:p>
    <w:p>
      <w:r>
        <w:t>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w:t>
      </w:r>
    </w:p>
    <w:p>
      <w:r>
        <w:rPr>
          <w:b/>
        </w:rPr>
        <w:t>E. 2.4</w:t>
      </w:r>
    </w:p>
    <w:p>
      <w:r>
        <w:t>L'art. 116 al. 1 let. a LEtr punit d'une peine privative de liberté d'un an au plus ou d'une peine pécuniaire celui qui, en Suisse ou à l'étranger, facilite l'entrée, la sortie ou le séjour illégal d'un étranger ou participe à des préparatifs dans ce but. Pour que l'infraction soit réalisée, il faut que le comportement de l'auteur rende difficile le prononcé ou l'exécution d'une décision à l'encontre de l'étranger en situation irrégulière ou restreigne, pour les autorités, les possibilités de l'arrêter (cf. ATF 130 IV 77 consid. 2.3.2 p. 80). En règle générale, il est admis que celui qui héberge une personne séjournant illégalement en Suisse facilite le séjour illégal de celle-ci, qu'il agisse en tant qu'hôtelier, de bailleur ou d'employeur qui loue une chambre. Le logement est en effet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quelques jours ne suffisant pas ; en effet, en cas d'hébergement de quelques jours, le comportement en cause n'est pas de nature à entraver l'action administrative et ne témoigne pas d'une volonté délictueuse, s'agissant de fournir un toit nécessaire pour vivre et non de contribuer à favoriser l'auteur. L'infraction est intentionnelle, le dol éventuel suffisant (ATF 130 IV 77 consid. 2.3.2 p. 80 ; ATF 118 IV 262 consid. 3a p. 264/265; 112 IV 121 consid. 1 p. 122 ; arrêt du Tribunal fédéral non publié 1B_128/2009 consid. 2 et les références citées).</w:t>
      </w:r>
    </w:p>
    <w:p>
      <w:r>
        <w:t>- 8/13 - P/8552/2013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non publié 1B_128/2009 précité). 2.5.1. En l'occurrence, le MP souligne à bon escient que même dans l'hypothèse la plus favorable à l'appelante, les éléments constitutifs objectifs de l'infraction seraient réalisés, dès lors qu'il est admis qu'elle a été d'accord de mettre son logement à disposition de B______, ressortissant de Guinée séjournant illégalement en Suisse, à tout le moins de novembre 2012 à janvier ou février 2013, soit pendant plus de quelques jours, ce qui était de nature, selon la jurisprudence précitée, à rendre plus difficile l'appréhension de ce dernier. 2.5.2. L'argument de l'erreur sur l'illicéité ne saurait être suivi, nul n'étant censé ignorer la loi. Plus particulièrement dans le domaine de la police des étrangers, il est bien connu que le séjour des étrangers est soumis à autorisation et tout citoyen doit se douter que celui qui héberge un étranger doit s'assurer qu'il n'est pas en situation irrégulière afin de ne pas favoriser une telle situation. Il importe peu à cet égard que l'appelante fût dans une situation difficile sur le plan personnel, dans la mesure où aucun élément du dossier ne donne à penser que ses capacités cognitive et/ou volitive fussent réduites. Elle ne le soutient d'ailleurs pas. Au contraire, elle indique même s'être renseignée au sujet du statut de son futur sous-locataire ce qui confirme qu'elle n'ignorait pas que la question se posait. 2.5.3. D'une façon générale, les déclarations de l'appelante sont peu crédibles. Elle n'a jamais proposé l'audition de l'amie à la demande de laquelle elle aurait accédé, pour "rendre service". Ses dire ne sont pas univoques, et sont contredits par ceux de B______, notamment s'agissant d'une contrepartie à la mise à disposition. Il est fort peu crédible qu'elle ait accepté de mettre gratuitement son logement à disposition d'un inconnu, quitte à devoir elle-même dormir chez des amis ou sa fille, non seulement à son retour du Maroc, prétendument parce que B______ refusait de partir, mais également avant le début de son séjour à l'étranger. Il est en revanche bien plus plausible, vu sa situation financière précaire, qu'elle ait cherché à tirer une source, même faible, de revenu durant son absence, ce qui conforte les déclarations du sous-locataire selon lesquelles il a payé un loyer en entrant puis s'est acquitté de quelques factures d'électricité. Apparaissant de façon générale peu crédible, l'appelante ne peut donc être suivie dans son affirmation selon laquelle elle pensait que son sous-locataire disposait "de papiers" et faisait des études, affirmation au demeurant incompatible, comme déjà dit, avec la thèse de l'erreur sur l'illicéité. Il faut donc admettre que l'appelante savait que B______ n'avait pas le droit de séjourner en Suisse, ou à tout le moins qu'elle l'avait envisagé et accepté.</w:t>
      </w:r>
    </w:p>
    <w:p>
      <w:r>
        <w:t>- 9/13 - P/8552/2013 L'infraction est partant consommée de sorte que l'appel doit être rejeté dans la mesure où il vise le verdict de culpabilité.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t>- 10/13 - P/8552/2013</w:t>
      </w:r>
    </w:p>
    <w:p>
      <w:r>
        <w:rPr>
          <w:b/>
        </w:rPr>
        <w:t>E. 3.2</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Il n'est pas exclu d'atténuer la peine en application de l'art. 54 CP en cas de crime intentionnel (ATF 121 IV 162 consid. 2e p. 175 s.).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du Tribunal fédéral 6B_372/2014 du 17 décembre 2014</w:t>
      </w:r>
    </w:p>
    <w:p>
      <w:r>
        <w:t>- 11/13 - P/8552/2013 consid. 3.4.3 ; 6B_373/2009 du 22 septembre 2009 consid. 3.3.2 ; 6P.140/2006 du 10 novembre 2006 consid. 14.3.1). Le Tribunal fédéral a notamment confirmé le refus d'appliquer l'art. 54 CP lorsqu'un parent n'est pas affecté dans une mesure excédant la douleur que tout père ou mère éprouve à la perte d'un enfant.</w:t>
      </w:r>
    </w:p>
    <w:p>
      <w:r>
        <w:rPr>
          <w:b/>
        </w:rPr>
        <w:t>E. 3.3</w:t>
      </w:r>
    </w:p>
    <w:p>
      <w:r>
        <w:t>La faute de l'appelante n'est pas anodine. En mettant son logement à disposition d'un étranger en situation irrégulière, elle a sciemment favorisé la commission de cette infraction. Elle a par là même créé le risque que le logement devienne un refuge pour d'autres étrangers en situation indélicate, voire serve de base arrière à la commission d'infractions supplémentaires, tel un trafic de stupéfiants. Contrairement à ce qu'elle soutient, l'appelante n'a pas agi par altruisme, mais bien pour s'assurer une entrée d'argent. La collaboration est moyenne et il ne paraît pas véritablement y avoir de prise de conscience. A décharge, il convient de tenir compte de la situation de l'appelante difficile, tant sur le plan économique que personnel, ce qui la rend plus que d'autre susceptible d'avoir recours à des expédients et de ce qu'elle risque de subir les conséquences de son acte du fait de la résiliation du bail. Cette conséquence n'est pas suffisamment lourde pour justifier une renonciation à toute sanction, d'autant plus qu'elle n'est pas certaine, l'appelante agissant en contestation du congé. Il convient cependant d'en tenir compte dans la fixation de la peine. Vu l'ensemble de ces circonstances, la CPAR retient que la peine infligée par le premier juge est appropriée de sorte qu'il convient de la confirmer. Il en va de même du quantum de CHF 30.- au regard de la situation financière de l'appelante, qui ne le conteste d'ailleurs pas.</w:t>
      </w:r>
    </w:p>
    <w:p>
      <w:r>
        <w:rPr>
          <w:b/>
        </w:rPr>
        <w:t>E. 3.4</w:t>
      </w:r>
    </w:p>
    <w:p>
      <w:r>
        <w:t>Le sursis, dont les conditions sont par ailleurs manifestement réalisées, lui est en tout état acquis faute de contestation en appel.</w:t>
      </w:r>
    </w:p>
    <w:p>
      <w:r>
        <w:rPr>
          <w:b/>
        </w:rPr>
        <w:t>E. 3.5</w:t>
      </w:r>
    </w:p>
    <w:p>
      <w:r>
        <w:t>L'appel sera donc rejeté.</w:t>
      </w:r>
    </w:p>
    <w:p>
      <w:r>
        <w:rPr>
          <w:b/>
        </w:rPr>
        <w:t>E. 4.1</w:t>
      </w:r>
    </w:p>
    <w:p>
      <w:r>
        <w:t>Vu le verdict de culpabilité, les conclusions en indemnisation sont rejetées.</w:t>
      </w:r>
    </w:p>
    <w:p>
      <w:r>
        <w:rPr>
          <w:b/>
        </w:rPr>
        <w:t>E. 4.2</w:t>
      </w:r>
    </w:p>
    <w:p>
      <w:r>
        <w:t>L'appelante, qui succombe, supportera les frais de la procédure d'appel, comprenant un émolument CHF 1'000.- (art. 428 CPP et 14 al. 1 du règlement fixant le tarif des frais en matière pénale du 22 décembre 2010 [RTFMP ; E 4 10.03]). * * * * *</w:t>
      </w:r>
    </w:p>
    <w:p>
      <w:r>
        <w:t>- 12/13 - P/8552/2013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