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AARP/291/2023 vom 12. Oktober 2022</w:t>
      </w:r>
    </w:p>
    <w:p>
      <w:r>
        <w:t>GE Cour de justice, 2022-10-12, FR</w:t>
      </w:r>
    </w:p>
    <w:p>
      <w:r>
        <w:rPr>
          <w:b/>
        </w:rPr>
        <w:t xml:space="preserve">Quelle: </w:t>
      </w:r>
      <w:r>
        <w:t>https://mcp.opencaselaw.ch/entscheid/ge_gerichte_AARP_291_2023</w:t>
      </w:r>
    </w:p>
    <w:p>
      <w:r>
        <w:t>FR: GE_GERICHTE AARP/291/2023 du 12 octobre 2022</w:t>
      </w:r>
    </w:p>
    <w:p>
      <w:r>
        <w:t>IT: GE_GERICHTE AARP/291/2023 del 12 ottobre 2022</w:t>
      </w:r>
    </w:p>
    <w:p>
      <w:pPr>
        <w:pStyle w:val="Heading2"/>
      </w:pPr>
      <w:r>
        <w:t>Erwägungen</w:t>
      </w:r>
    </w:p>
    <w:p>
      <w:r>
        <w:rPr>
          <w:b/>
        </w:rPr>
        <w:t>E. 3.1</w:t>
      </w:r>
    </w:p>
    <w:p>
      <w:r>
        <w:t>Les lésions corporelles simples (art. 123 ch. 1 CP), les menaces (art. 180 al. 1 CP), la contrainte (art. 181 CP), la violation de domicile (art. 186 CP) et la violence ou menace contre les autorités et les fonctionnaires (art. 285 ch. 1) sont punies d'une peine privative de liberté de trois ans au plus ou d'une peine pécuniaire. L'infraction de brigandage est passible d'une peine privative de liberté de six mois à dix ans (art. 140 ch. 1 al. 1 CP). La peine privative de liberté sera de deux ans au moins en cas de brigandage aggravé au sens de l'art. 140 ch. 3 CP. L'extorsion (art. 156 ch. 1 CP) est sanctionnée d'une peine privative de liberté de cinq ans au plus ou d'une peine pécuniaire. La dénonciation calomnieuse (art. 303 ch. 1 CP) est punissable d'une peine privative de liberté ou d'une peine pécuniaire.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 3.2.2. Le jeune âge n'impose pas, à lui seul, une réduction de peine.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w:t>
      </w:r>
    </w:p>
    <w:p>
      <w:r>
        <w:t>- 50/73 - P/11148/2020</w:t>
      </w:r>
    </w:p>
    <w:p>
      <w:r>
        <w:rPr>
          <w:b/>
        </w:rPr>
        <w:t>E. 3.3</w:t>
      </w:r>
    </w:p>
    <w:p>
      <w:r>
        <w:t>Bien que la récidive ne constitue plus un motif d'aggravation obligatoire de la peine (art. 67 aCP),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(ROTH / MOREILLON (éds), Code pénal I : art. 1-100 CP, Bâle 2009, N 55 ad art. 47). Une série d'infractions semblables pèse plus lourd que des actes de nature différente. En outre, les condamnations passées perdent de leur importance avec l'écoulement du temps (ATF 135 IV 87 consid. 2). Les antécédents judiciaires ne sauraient toutefois conduire à une augmentation massive de la peine, parce que cela reviendrait à condamner une deuxième fois pour des actes déjà jugés (ATF 120 IV 136 consid. 3b). 3.4.1.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3.4.2.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ATF 141 IV 61 consid. 6.1.2 ; ATF 138 IV 113 consid. 3.4.1). Il doit s'agir de peines de même genre (ATF 142 IV 265 consid. 2.3.2). 3.5.1. Aux termes de l'art. 48 let. a CP, le juge atténue la peine si l'auteur a agi sous l'effet d'une menace grave (ch. 3) ou sous l'ascendant d'une personne à laquelle il devait obéissance ou de laquelle il dépendait (ch. 4). Pour que la circonstance atténuante de l'art. 48 let. a ch. 4 CP soit réalisée, il faut que l'auteur ait agi sous l'ascendant d'une personne à laquelle il doit obéissance ou dont il dépend. Contrairement à l'obéissance, la dépendance peut aussi résulter de relations de fait. Ainsi, une relation de concubinage peut, mais ne doit pas nécessairement,</w:t>
      </w:r>
    </w:p>
    <w:p>
      <w:r>
        <w:t>- 51/73 - P/11148/2020 engendrer une relation de dépendance.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ss).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prévues par l'art. 64 aCP, en particulier à celui qui est provoqué par un état de détresse profonde ou par une menace grave ; il faut que l'intervention de la personne dont dépend l'auteur ait limité la liberté de décision de ce dernier et, partant, sa culpabilité dans une mesure qui, au vu des circonstances concrètes, justifie une atténuation de la sanction pénale (arrêt du Tribunal fédéral 6S_121/2005 du 18 mai 2005 consid. 10.1). La condition préalable est une situation proche de l'état d'urgence qui fait peser une telle charge sur le délinquant qu'il n'y a pas d'autre issue que l'acte criminel (arrêt du Tribunal fédéral 6B_497/2011 du 22 décembre 2011 consid. 2.4). 3.5.2. Le juge atténue la peine si l'auteur a manifesté par des actes un repentir sincère, notamment s'il a réparé le dommage autant qu'on pouvait l'attendre de lui (art. 48 let. d CP). Le seul fait qu'un délinquant ait passé des aveux ou manifesté des remords ne suffit pas. Il n'est en effet pas rare que, confronté à des moyens de preuve, un accusé choisisse de dire la vérité ou d'exprimer des regrets (ATF 121 IV 202 consid. 2/cc ; arrêt du Tribunal fédéral 6B_1368/2016 du 15 novembre 2017 consid. 5.1 non publié aux ATF 143 IV 469).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 arrêt du Tribunal fédéral 6B_1368/2016 du 15 novembre 2017 consid. 5.1 non publié aux ATF 143 IV 469). La seule réparation du dommage ne témoigne pas nécessairement d'un repentir sincère. Un geste isolé ou dicté par l'approche du procès pénal ne suffit pas. L'effort particulier exigé implique qu'il soit fourni librement et durablement (ATF 107 IV 98 consid. 1).</w:t>
      </w:r>
    </w:p>
    <w:p>
      <w:r>
        <w:t>- 52/73 - P/11148/2020</w:t>
      </w:r>
    </w:p>
    <w:p>
      <w:r>
        <w:rPr>
          <w:b/>
        </w:rPr>
        <w:t>E. 3.6</w:t>
      </w:r>
    </w:p>
    <w:p>
      <w:r>
        <w:t>Si, durant le délai d'épreuve, le détenu libéré conditionnellement commet un crime ou un délit, le juge qui connaît de la nouvelle infraction ordonne sa réintégration dans l'établissement (art. 89 al. 1 CP). Le juge peut renoncer à réintégrer dans l'établissement de détention le détenu libéré conditionnellement ayant commis un nouveau crime ou délit, s'il n'y a pas lieu de craindre que celui-ci commette d'autres infractions (art. 89 al. 2 CP). La commission d'un nouveau crime ou d'un nouveau délit ne constitue qu'un des facteurs à considérer, le pronostic quant à la capacité de l'intéressé à vivre de manière conforme à la loi dans le futur devant à nouveau être établi. 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 6B_663/2009 du 19 octobre 2009 consid. 1.2 et 6B_303/2007 du</w:t>
      </w:r>
    </w:p>
    <w:p>
      <w:r>
        <w:rPr>
          <w:b/>
        </w:rPr>
        <w:t>E. 3.7</w:t>
      </w:r>
    </w:p>
    <w:p>
      <w:r>
        <w:t>Les considérations développées ci-dessous commandent mutatis mutandis la révocation de la libération conditionnelle accordée le 27 février 2020, l'appelant A______ ayant récidivé dans le délai d'épreuve de cette décision. Le fait que le TAPEM a considéré, en février 2022, qu'il pouvait mettre le prévenu A______ au bénéfice d'un pronostic favorable n'est pas pertinent, dans la mesure où les conditions présidant à l'octroi d'une libération conditionnelle sont différentes de celles conduisant à la révocation de cette décision.</w:t>
      </w:r>
    </w:p>
    <w:p>
      <w:r>
        <w:rPr>
          <w:b/>
        </w:rPr>
        <w:t>E. 3.8</w:t>
      </w:r>
    </w:p>
    <w:p>
      <w:r>
        <w:t>La faute du prévenu A______ est extrêmement lourde et dénote un mépris caractérisé des décisions de l'autorité et du bien d'autrui. Il s'en est pris sans aucun scrupule à l'intégrité physique du plaignant G______, lui causant des blessures importantes et entraînant chez lui des séquelles psychiques encore présentes à ce jour. Il a ainsi fait usage d'une violence gratuite, nullement nécessaire à la réalisation des buts poursuivis, poussant la perfidie jusqu'au tournage d'une vidéo particulièrement humiliante pour sa victime. Il ne connaissait pas le plaignant ni</w:t>
      </w:r>
    </w:p>
    <w:p>
      <w:r>
        <w:t>- 53/73 - P/11148/2020 n'avait le moindre contentieux avec lui, ce qui aggrave sa faute. En particulier, les premiers juges n'ont pas forcé le trait en retenant que l'appelant A______ était le chef ou le leader du trio, étant relevé que les actes qui lui sont imputés l'ont été à titre direct ou en raison de la coactivité, D______, F______ et lui-même s'en étant pris de concert à la victime. Dans le contexte O______, le prévenu A______ n'a pas hésité à s'en prendre à une personne vulnérable, utilisée pour obtenir de l'argent facilement, sans égard à son patrimoine ou aux souffrances qu'il lui occasionnerait. De même, il a suscité de la crainte auprès de nombreuses personnes en les menaçant et en les insultant gratuitement. Le prévenu adopte fréquemment des comportements impulsifs et agressifs envers autrui lorsqu'il n'obtient pas satisfaction, faisant fi des lois et règlements s'appliquant à tous. Son comportement en détention est édifiant à cet égard, encore ces derniers mois, puisqu'il a indiqué avoir déjà été sanctionné à deux reprises depuis son arrivée à l'établissement fermé de B______ en mars 2023. La période pénale est étendue et comporte plusieurs épisodes distincts, relatifs à plusieurs types d'infractions, certaines se répétant comme les menaces. Son parcours démontre qu'il est durablement ancré dans la délinquance et que les sanctions prononcées jusqu'ici n'ont eu aucun effet sur ses agissements illicites, étant observé au contraire que les actes commis le 22 juin 2020 représentent même une escalade dans la violence et qu'ils s'inscrivent seulement six mois après sa précédente incarcération et 15 jours après le jugement du 8 juin 2020 le condamnant à une peine privative de liberté de neuf mois. Les mobiles du prévenu A______ sont égoïstes. Il est mû par une volonté de dominer son entourage (par la violence, la crainte et l'humiliation), ainsi que par un évident appât du gain facile. Sa collaboration est mauvaise, il a constamment changé sa version des faits, annonçant régulièrement le dévoilement de la vérité, minimisant ses actes et faisant porter la responsabilité de l'opération sur D______, allant jusqu'à prétendre que celui-ci avait œuvré pour évincer un concurrent dans le trafic de stupéfiants à L______. Sa prise de conscience peut être considérée comme amorcée au stade de l'appel, dans la mesure où il admet avoir frappé la victime et ne conteste plus la réalisation d'un brigandage (dans sa forme simple), ni ses autres condamnations prononcées en première instance. Cela étant, il minimise toujours son implication, avançant avoir décidé de se rendre chez le plaignant le jour même. Il persiste en appel encore dans des déclarations farfelues, prétendant notamment n'avoir jamais rencontré F______ avant les faits.</w:t>
      </w:r>
    </w:p>
    <w:p>
      <w:r>
        <w:t>- 54/73 - P/11148/2020 Sa situation personnelle ne justifie aucunement ses actes. Bien au contraire, il bénéficie d'une situation stable en Suisse. Titulaire d'un permis C, il est entouré de sa famille, a une petite fille à laquelle il dit tenir beaucoup et vouloir être présent pour son éducation. Sa formation lui permettait de travailler. Selon ses dires, il percevait des revenus honorables et n'avait aucun besoin urgent d'argent. Il sera tenu compte de sa responsabilité très faiblement restreinte au moment des faits, sa faute étant ainsi très légèrement amoindrie. L'appelant ne s'oppose pas au suivi psychiatrique et psychothérapeutique préconisé par les experts, reconnaissant devoir travailler sur son impulsivité. Il a entrepris des démarches en ce sens. Il a plusieurs antécédents récents et partiellement spécifiques, s'agissant en particulier des lésions corporelles simples. La seule infraction encore discutée en appel est punissable d'une peine privative de liberté, de sorte que celle-ci entre en concours avec les infractions punies d'une privation de liberté en première instance et non contestées en appel. Au vu du jugement du 8 juin 2020, rendu postérieurement à une partie des faits, le condamnant à une peine privative de liberté de neuf mois pour des faits antérieurs à ceux objet de la présente procédure, une peine partiellement complémentaire doit être prononcée (art. 49 al. 2 CP). Compte tenu des éléments qui précèdent, une peine hypothétique d'ensemble de 69 mois aurait été prononcée pour sanctionner la totalité des infractions reprochées. Il y a donc lieu de prononcer une peine privative de liberté partiellement complémentaire de 60 mois. Dite peine partiellement complémentaire se décompose comme suit : Il y a concours entre les infractions de lésions corporelles simples, de brigandage aggravé, d'extorsion, de menaces, de contrainte, de violation de domicile, de violence ou menace contre les autorités et les fonctionnaires, et de dénonciation calomnieuse. Les actes abstraitement les plus graves sont ceux qualifiés de brigandage aggravé, pour lesquels une peine privative de liberté de 42 mois est appropriée. À cette peine s'ajouteront cinq mois pour l'extorsion (peine hypothétique : sept mois), cinq mois pour la contrainte (peine hypothétique : sept mois), trois mois pour les menaces (peine hypothétique : quatre mois), deux mois pour la dénonciation calomnieuse (peine hypothétique : trois mois), un mois pour les lésions corporelles simples, la violation de domicile et les violences ou menaces contre les autorités (peine hypothétique : deux mois), ainsi que de 84 jours pour tenir compte de la révocation de la libération conditionnelle. Cette peine privative de liberté de 60 mois et 84 jours</w:t>
      </w:r>
    </w:p>
    <w:p>
      <w:r>
        <w:t>- 55/73 - P/11148/2020 sera toutefois ramenée à cinq ans (60 mois), pour tenir compte de la responsabilité très faiblement restreinte de l'appelant A______. Dès lors, le jugement de première instance sera confirmé à cet égard.</w:t>
      </w:r>
    </w:p>
    <w:p>
      <w:r>
        <w:rPr>
          <w:b/>
        </w:rPr>
        <w:t>E. 3.9</w:t>
      </w:r>
    </w:p>
    <w:p>
      <w:r>
        <w:t>La faute du prévenu D______ est importante. Il s'en est pris lâchement à l'intégrité physique de la victime avec l'aide de deux comparses. Il s'est associé au plan du prévenu A______, en connaissant les pourtours depuis plusieurs jours. Il s'est organisé en s'équipant afin de ne pas être reconnu. Le comportement adopté et la violence employée ont été totalement disproportionnés par rapport aux buts poursuivis.</w:t>
      </w:r>
    </w:p>
    <w:p>
      <w:r>
        <w:t>Il sera néanmoins relevé que D______ a quitté les lieux, se dissociant des actes des deux autres en raison d'une violence allant crescendo dans les coups portés au plaignant, ne réalisant de la sorte pas l'aggravante du brigandage.</w:t>
      </w:r>
    </w:p>
    <w:p>
      <w:r>
        <w:t>Il a agi par pure convenance personnelle, soit un enrichissement facile couplé avec le désir de se venger de précédentes insultes.</w:t>
      </w:r>
    </w:p>
    <w:p>
      <w:r>
        <w:t>Aucun élément du dossier ne permet de douter de sa responsabilité pleine et entière. Si le prévenu s'est associé au plan de A______ et a suivi ses instructions, il n'en demeure pas moins qu'il n'y a pas été contraint et a agi de la sorte en toute conscience et volonté. Cela résulte déjà du fait qu'il n'a pas hésité à se dissocier du comportement de A______ en cours d'exécution, sans craindre de représailles, autres que celles de la victime elle-même.</w:t>
      </w:r>
    </w:p>
    <w:p>
      <w:r>
        <w:t>Sa situation personnelle n'explique nullement ses actes.</w:t>
      </w:r>
    </w:p>
    <w:p>
      <w:r>
        <w:t>Sa collaboration est mitigée. Il a constamment minimisé ses actes, ne reconnaissant une partie de sa responsabilité qu'une fois confronté au prévenu F______. Il a délibérément menti au début de la procédure quant à l'identité de ce dernier.</w:t>
      </w:r>
    </w:p>
    <w:p>
      <w:r>
        <w:t>Il semble avoir pris conscience de ses actes, même s'il persiste à minimiser son implication et à se retrancher derrière la prétendue contrainte exercée par A______ pour qu'il participe à l'opération.</w:t>
      </w:r>
    </w:p>
    <w:p>
      <w:r>
        <w:t>Il a deux antécédents récents de vol.</w:t>
      </w:r>
    </w:p>
    <w:p>
      <w:r>
        <w:t>Il y a concours entre les infractions de brigandage et de violation de domicile. Les actes abstraitement les plus graves sont ceux qualifiés de brigandage, pour lesquels une peine privative de liberté de 24 mois est appropriée. À cette peine s'ajoutera un mois pour la violation de domicile (peine hypothétique : deux mois). Partant, une</w:t>
      </w:r>
    </w:p>
    <w:p>
      <w:r>
        <w:t>- 56/73 - P/11148/2020 peine privative de liberté globale de 25 mois sera prononcée et le jugement entrepris modifié sur ce point. Le bénéfice du sursis partiel est acquis à l'appelant, de même que la durée de la peine ferme fixée à six mois. La durée du délai d'épreuve sera arrêtée à trois ans.</w:t>
      </w:r>
    </w:p>
    <w:p>
      <w:r>
        <w:rPr>
          <w:b/>
        </w:rPr>
        <w:t>E. 3.10</w:t>
      </w:r>
    </w:p>
    <w:p>
      <w:r>
        <w:t>La faute de F______ est aussi importante. Il s'en est pris à l'intégrité physique du plaignant G______, qu'il ne connaissait pas, avec une violence gratuite et nullement nécessaire aux buts poursuivis. Les lésions corporelles causées auraient pu être d'une gravité importante, notamment en raison des coups portés au visage de la victime. Il n'a pas saisi l'occasion offerte par D______ de se désolidariser de l'action de A______. Bien au contraire, il a activement participé à son escalade, administrant lui-même des coups de ceinture et étouffant la victime avec un coussin, avant de se munir d'un couteau de cuisine avec lequel il a menacé G______. Concernant l'infraction de contrainte, soit le tournage de la vidéo, sa faute est moins grande que celle de A______. Il en sera tenu compte dans la fixation de la peine. Son mobile est égoïste et futile. Il a agi par appât du gain et vraisemblablement grisé de participer à une opération qu'il a envisagée comme violente et dangereuse. La violence dont il a ensuite fait preuve, restant aux côtés de A______, est en revanche difficile à comprendre. Bien qu'il ait été certainement intimidé par le prévenu A______, la circonstance atténuante de l'ascendant d'une personne n'est de toute évidence pas remplie. F______ n'a pas agi sous la pression d'une menace grave. Il ne lui devait pas obéissance ni ne dépendait de lui. Quand bien même il a été impressionné par l'appelant A______, sa liberté d'action et de décision restait entière. Il connaissait depuis peu le prévenu A______, ne séjournait en Suisse que quelques mois vu ses études à l'étranger et n'avait jamais été frappé ou menacé par lui. En outre, à l'instar de l'appelant D______, il aurait pu quitter l'appartement de la victime à tout moment. Il ne saurait se prévaloir d'une absence ou d'une diminution de responsabilité pour le comportement adopté. Le fait de s'être acquitté de la somme de CHF 2'000.- est respectable. Il s'agit cependant d'un acte isolé, qui ne s'est pas poursuivi, même à raison de faibles sommes. Aussi, le dédommagement opéré ne reflète pas un effort si particulier qu'il constitue, au sens de la jurisprudence, un acte de repentir sincère au sens de l'art. 48 let. d CP. Aucune règle d'atténuation de la peine n'est donc applicable au cas d'espèce, notamment pas celles de l'art. 48 let. a ch. 3 ou 4 ou let. d CP. Il sera tenu compte de son jeune âge au moment des faits.</w:t>
      </w:r>
    </w:p>
    <w:p>
      <w:r>
        <w:t>- 57/73 - P/11148/2020 La situation personnelle du prévenu F______ était particulièrement bonne, de sorte qu'on ne saurait y trouver une explication à ses actes. Une fois interpellé, sa collaboration a été plutôt bonne. Il minimise cependant toujours son implication, se retranchant derrière le prévenu A______ qu'il accuse de l'avoir forcé à participer. Sa prise de conscience de la gravité de ses actes est partiellement acquise, sous réserve de la minimisation de sa responsabilité. L'absence d'antécédents est un élément neutre s'agissant de la fixation de la peine. Il y a concours entre les infractions de brigandage aggravé, de contrainte et de violation de domicile. Les actes abstraitement les plus graves sont ceux qualifiés de brigandage aggravé, pour lesquels une peine privative de liberté de 30 mois est appropriée, la pondération de la faute des prévenus A______ et F______, ainsi que le jeune âge de ce dernier indiquent le prononcé d'une peine moins lourde pour le prévenu F______, enrôlé dans un plan déjà défini par ses comparses et dont il n'était pas le leader. À cette peine s'ajouteront cinq mois pour la contrainte (peine hypothétique : sept mois) et un mois pour la violation de domicile (peine hypothétique : deux mois). Partant, la peine privative de liberté de 36 mois, prononcée par les premiers juges, est adéquate et sera confirmée. Le sursis partiel lui est acquis, de même que la durée de la peine ferme fixée à six mois et du délai d'épreuve fixée à trois ans. 4. 4.1. 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4.2. Les 268 jours de détention avant jugement subis par le prévenu D______ seront soustraits de la peine prononcée. Les mesures de substitution dont il a fait l'objet devront quant à elles être déduites à hauteur de 15% (48 jours), les restrictions et obligations n'ayant porté qu'une atteinte mineure à sa liberté personnelle en comparaison avec la détention provisoire. 4.3. Les 75 jours de détention avant jugement subis par le prévenu F______ seront déduits de la peine prononcée. Les mesures de substitution dont il a fait l'objet devront quant à elles être imputées à hauteur de 25% pour les 182 premiers jours.</w:t>
      </w:r>
    </w:p>
    <w:p>
      <w:r>
        <w:t>- 58/73 - P/11148/2020 Durant ce laps de temps, il a été plus fortement impacté dans sa liberté personnelle, ne pouvant poursuivre ses études en Grande-Bretagne (46 jours). Les 401 jours restant seront déduits à hauteur de 15% (60 jours), dites restrictions et obligations n'ayant porté qu'une atteinte mineure à sa liberté personnelle en comparaison avec la détention provisoire. 4.4. La détention avant jugement subie par A______ sera déduite à raison de 956 jours. 5. 5.1. L'appelant A______ conteste son expulsion du territoire suisse prononcée en première instance. Demeure litigieuse la question de savoir si l'intérêt public à l'expulsion l'emportent sur l'intérêt privé du prévenu A______ à demeurer en Suisse (seconde condition cumulative de l'art. 66a al. 2 CP), les premiers juges ayant admis que l'expulsion le plaçait dans une situation personnelle grave, point non contesté en appel. 5.2.1. Conformément à l'art. 66a al. 1 let. c CP, le juge expulse un étranger du territoire suisse pour une durée de cinq à quinze ans notamment s'il est reconnu coupable de brigandage (art. 140 CP). 5.2.2. L'art. 66a al. 2 CP prévoit que le juge peut exceptionnellement renoncer à une expulsion lorsque celle-ci mettrait l'étranger dans une situation personnelle grave et que l'intérêt public à l'expulsion ne l'emporte pas sur l'intérêt privé de l'étranger à demeurer en Suisse. Les conditions posées par cette disposition sont cumulatives (ATF 144 IV 332 consid. 3.3). L'art. 66a al. 2 CP définit une "Kannvorschrift", en ce sens que le juge n'a pas l'obligation de renoncer à l'expulsion, mais peut le faire si les conditions fixées par cette disposition sont remplies. Ces conditions sont cumulatives et s'interprètent de manière restrictive. Afin de pouvoir renoncer à une expulsion prévue par l'art. 66a al. 1 CP, il faut donc que cette mesure mette l'étranger dans une situation personnelle grave et que l'intérêt public soit de peu d'importance, c'est-à-dire que l'intérêt public à l'expulsion ne l'emportent pas sur l'intérêt privé de l'étranger à demeurer en Suisse (ATF 146 IV 105 consid. 3.4.2 ; 144 IV 332 consid. 3.3). 5.2.3. La loi ne définit pas ce qu'il faut entendre par une « situation personnelle grave » (première condition cumulative) ni n'indique les critères à prendre en compte dans la pesée des intérêts (seconde condition cumulative). Il convient de s'inspirer des critères énoncés à l'art. 31 de l'ordonnance du 24 octobre 2007 relative à l'admission, au séjour et à l'exercice d'une activité lucrative (OASA). L'art. 31 al. 1 OASA prévoit qu'une autorisation de séjour peut être octroyée dans les cas individuels d'extrême gravité. L'autorité doit tenir compte notamment de l'intégration</w:t>
      </w:r>
    </w:p>
    <w:p>
      <w:r>
        <w:t>- 59/73 - P/11148/2020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 arrêt du Tribunal fédéral 6B_379/2021 du 30 juin 2021 consid. 1.1). En application de l'art. 66a al. 2 CP, il s'agit de faire la pesée entre l'intérêt à l'éloignement et la situation personnelle du condamné. La jurisprudence rendue sur l'art. 8 CEDH est applicable à cette pesée d'intérêts, avec comme critères déterminants la gravité de l'infraction, la culpabilité de l'auteur, le temps écoulé depuis l'infraction, le comportement de celui-ci pendant cette période, le degré de son intégration et la durée de son séjour antérieur, les inconvénients qui le menacent, lui et sa famille, en cas de révocation, la durée du séjour en Suisse, l'intensité des liens avec la Suisse et les difficultés de réintégration dans son pays d'origine (ATF 144 IV 332 c. 3.3.2 p. 340).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146 IV 105 consid. 4.3. ; 144 IV 332 consid. 3.3.2).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Les relations familiales visées par l'art. 8 par. 1 CEDH sont avant tout celles qui concernent la famille dite nucléaire, soit celles qui existent entre époux ainsi qu'entre parents et enfants mineurs vivant en ménage commun (arrêt du Tribunal fédéral 6B_379/2021 du 30 juin 2021 consid. 1.2.). L'expulsion d'un étranger qui séjourne depuis longtemps en Suisse doit se faire avec une retenue particulière. Elle n'est toutefois pas exclue en cas d'infractions graves ou</w:t>
      </w:r>
    </w:p>
    <w:p>
      <w:r>
        <w:t>- 60/73 - P/11148/2020 répétées, même s'agissant d'un étranger né en Suisse et qui y a passé l'entier de sa vie, étant précisé qu'en droit des étrangers, une révocation de l'autorisation de séjour est prévue par l'art. 62 al. 1 let. b LEI en cas de "peine privative de liberté de longue durée", c'est-à-dire toute peine privative de liberté supérieure à un an (ATF 139 I 145 consid. 2.1), résultant d'un seul jugement pénal, qu'elle ait été prononcée avec sursis ou sans sursis (ATF 139 I 16 consid. 2.1). On tiendra alors particulièrement compte de l'intensité des liens de l'étranger avec la Suisse et des difficultés de réintégration dans son pays d'origine (ATF 144 IV 332 consid. 3.3.3 et les arrêts cités).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arrêts du Tribunal fédéral 6B_661/2019 du 12 septembre 2019 consid. 3.3.1 et 3.3.2 et référence citée).</w:t>
      </w:r>
    </w:p>
    <w:p>
      <w:r>
        <w:t>5.3. L'appelant A______ s'est rendu coupable d'infractions très graves contre l'intégrité physique, la liberté et le patrimoine d'autrui. Il existe un intérêt public important à son expulsion. Les experts ont retenu que le risque de récidive d'actes violents était moyen, et même plus important dans le contexte conjugal. Par ailleurs, sa prise de conscience de la gravité de ses actes n'est qu'ébauchée. Il est arrivé en Suisse en 1997 à l'âge de sept ans et a bénéficié avec sa famille de l'asile politique en 1999. Il y a grandi et y a suivi toute sa scolarité. En 2004 ou 2006, il a perdu ce statut au bénéfice d'un permis C. Il est père d'une petite fille née en 2017, avec laquelle il entretenait des liens étroits avant son incarcération, relation qui se poursuit en détention par des visites régulières. Sa famille semble être majoritairement en Suisse et entretenir des liens étroits avec le prévenu. Sa mère et ses frères ont obtenu la nationalité suisse. Celui-ci apparaît intégré sur le plan social. Sur le plan professionnel, il est au bénéfice d'une formation d'assistant juridique. Selon ses dires, il était actif dans l'immobilier et sur le point de réaliser d'importants profits grâce à ses nouveaux partenariats.</w:t>
      </w:r>
    </w:p>
    <w:p>
      <w:r>
        <w:t>Sa situation financière est peu claire. Une partie des infractions reprochées avait pour but de réaliser un gain financier, alors même qu'il prétend que ses revenus étaient suffisants (CHF 4'800.- par mois) et ses affaires florissantes. Il paraît néanmoins avoir les ressources, le réseau et certaines compétences pour rebondir à sa sortie. Ses parents sont prêts à l'accueillir.</w:t>
      </w:r>
    </w:p>
    <w:p>
      <w:r>
        <w:t>- 61/73 - P/11148/2020</w:t>
      </w:r>
    </w:p>
    <w:p>
      <w:r>
        <w:t>L'appelant a amorcé la prise de conscience de ses actes, bien qu'encore ébauchée, et de ses troubles. Il reconnaît maintenant son impulsivité et semble faire des efforts pour travailler dessus, avec l'aide d'un thérapeute. Un contact a déjà été pris avec l'association AK______ et il est en attente de place pour un suivi psychothérapeutique en prison. Dans la mesure où il semble adhérer pleinement au traitement préconisé par les experts, celui-ci a des chances de prospérer, de sorte qu'un espoir réside dans le succès du traitement ordonné en première instance. L'appelant n'est jamais retourné dans son pays d'origine et n'y a aucun lien. Seul l'un de ses oncles vivrait toujours sur place, mais il n'a aucun contact avec lui.</w:t>
      </w:r>
    </w:p>
    <w:p>
      <w:r>
        <w:t>L'appelant ne bénéficie plus du statut de réfugié, et ne peut ainsi se prévaloir du principe du non-refoulement. Cela étant, la menace ayant forcé sa famille à quitter le pays semble persister malgré la chute du Président Mobutu, comme en attestent ses parents. Vu ce qui précède, ses chances de réinsertion en République démocratique du Congo paraissent difficiles. Pour ces motifs, l'intérêt privé du prévenu A______ l'emporte encore sur l'intérêt public à son expulsion. Il sera renoncé à son expulsion de Suisse en application de la clause de rigueur dont les conditions sont, à ce jour, remplies. Son attention est néanmoins attirée sur le fait que la balance pourrait pencher dans l'autre sens s'il devait commettre de nouvelles infractions susceptibles d'expulsion, car l'intérêt public pourrait alors prévaloir. Le jugement entrepris sera modifié sur ce point.</w:t>
      </w:r>
    </w:p>
    <w:p>
      <w:r>
        <w:rPr>
          <w:b/>
        </w:rPr>
        <w:t>E. 6</w:t>
      </w:r>
    </w:p>
    <w:p>
      <w:r>
        <w:t>Les motifs ayant conduit les premiers juges à prononcer, par ordonnance séparée du 12 octobre 2022, le maintien de l'appelant A______ en détention pour des motifs de sûreté sont toujours d'actualité, ce que celui-ci ne conteste au demeurant pas, de sorte que la mesure sera reconduite mutatis mutandis (ATF 139 IV 277 consid. 2.2 à 2.3).</w:t>
      </w:r>
    </w:p>
    <w:p>
      <w:r>
        <w:rPr>
          <w:b/>
        </w:rPr>
        <w:t>E. 7.1</w:t>
      </w:r>
    </w:p>
    <w:p>
      <w:r>
        <w:t>En qualité de partie plaignante, le lésé peut faire valoir des conclusions civiles déduites de l'infraction par adhésion à la procédure pénale (art. 122 al. 1 CPP). Aux termes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w:t>
      </w:r>
    </w:p>
    <w:p>
      <w:r>
        <w:t>- 62/73 - P/11148/2020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À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Le Tribunal fédéral a jugé qu'en principe, des montants dépassant CHF 50'000.- n'étaient alloués que si le lésé était totalement invalide ou encore que des montants de CHF 40'000.- n'étaient alloués qu'aux victimes ayant perdu toute capacité de travail ou de gain (arrêts du Tribunal fédéral 4A_463/2008 du 20 avril 2010 consid. 5.2 non publié in ATF 136 III 310 et 4A_481/2009 du 26 janvier 2010 consid. 6.2.1).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CHF 40'000.- en cas de perte d'une fonction ou d'un organe importants (par ex. hémiplégie, perte d'un bras ou d'une jambe, atteinte très grave et douloureuse à la colonne vertébrale, perte des organes génitaux ou de la capacité de reproduction, grave défiguration) et moins de CHF 20'000.- en cas d'atteintes de gravité moindre (par ex. perte d'un doigt, de l'odorat ou du goût). La Chambre pénale d'appel et de révision (CPAR) a prononcé une indemnité de CHF 15'000.- en faveur d'un homme de 69 ans percuté par un véhicule, souffrant de tensions musculaires persistantes à la nuque et d'un état de stress post-traumatique chronique suite à l'accident (AARP/110/2023 du 10 mars 2023 consid. 5).</w:t>
      </w:r>
    </w:p>
    <w:p>
      <w:r>
        <w:rPr>
          <w:b/>
        </w:rPr>
        <w:t>E. 7.2</w:t>
      </w:r>
    </w:p>
    <w:p>
      <w:r>
        <w:t>En l'espèce, l'attaque subie par le plaignant a engendré des souffrances physiques et morales importantes, décrites supra. Dès lors, le principe d'une indemnité pour tort moral lui est acquis. Reste à en déterminer le montant, puisque la victime sollicite qu'il soit porté à CHF 25'000.-.</w:t>
      </w:r>
    </w:p>
    <w:p>
      <w:r>
        <w:t>- 63/73 - P/11148/2020 G______ n'a pas été hospitalisé et ses séquelles physiques ont été fort heureusement limitées. Les marques externes de l'attaque ont disparu environ un mois et demi après les faits. Il a en revanche subi un état de stress post-traumatique important durant plusieurs mois. Il a bénéficié d'un suivi psychothérapeutique régulier jusqu'en mars 2022, qu'il a souhaité de lui-même cesser. Les médecins ont noté une évolution favorable dès le mois de mai 2021 avec une diminution de la prise de médicaments et une reprise de confiance. Suite aux événements, il n'a pas été en mesure de réintégrer son appartement et a dû déménager. Ainsi, l'atteinte à son intégrité physique demeure modérée. Son pronostic vital n'a pas été engagé et il ne souffre heureusement d'aucune séquelle lourde. Son quotidien n'a pas été impacté de manière aussi importante que dans les cas de jurisprudence cités. Le montant de CHF 25'000.- réclamé par l'appelant joint dépasse ainsi les montants admis par la jurisprudence et par le Conseil fédéral pour des atteintes modérées. Pour ces motifs, une indemnité pour tort moral de CHF 10'000.- paraît adéquate ici. La part du prévenu D______ sera plafonnée à CHF 5'000.-, plus intérêts, celui-ci étant parti avant les épisodes du couteau et de la vidéo. Celle du prévenu F______ sera plafonnée à CHF 8'000.-, plus intérêts, pour tenir compte du paiement de CHF 2'000.- intervenu le 15 février 2021. L'appel joint du plaignant sera partant partiellement admis et l'indemnité pour tort moral portée à CHF 10'000.-.</w:t>
      </w:r>
    </w:p>
    <w:p>
      <w:r>
        <w:rPr>
          <w:b/>
        </w:rPr>
        <w:t>E. 8.1</w:t>
      </w:r>
    </w:p>
    <w:p>
      <w:r>
        <w:t>L'appelant A______ obtient gain de cause en appel sur l'expulsion et D______ partiellement sur la peine. L'appel de F______ est rejeté. L'appel joint du plaignant est admis. L'appel joint du MP est admis partiellement sur la réalisation par le prévenu F______ de la circonstance aggravante de l'art. 140 ch. 3 CP.</w:t>
      </w:r>
    </w:p>
    <w:p>
      <w:r>
        <w:t>Les frais de la procédure d'appel, qui comprennent un émolument de décision de CHF 6'000.-, seront répartis comme suit :  20% à la charge de A______ ;  25% à celle de D______ ;  30% à celle de F______. Le solde (25%) sera laissé à la charge de l'État.</w:t>
      </w:r>
    </w:p>
    <w:p>
      <w:r>
        <w:rPr>
          <w:b/>
        </w:rPr>
        <w:t>E. 8.2</w:t>
      </w:r>
    </w:p>
    <w:p>
      <w:r>
        <w:t>Vu la confirmation des verdicts de culpabilité, la répartition des frais de procédure en première instance n'a, quant à elle, pas à être revue (cf. art. 428 al. 3 CPP).</w:t>
      </w:r>
    </w:p>
    <w:p>
      <w:r>
        <w:t>- 64/73 - P/11148/2020</w:t>
      </w:r>
    </w:p>
    <w:p>
      <w:r>
        <w:rPr>
          <w:b/>
        </w:rPr>
        <w:t>E. 9</w:t>
      </w:r>
    </w:p>
    <w:p>
      <w:r>
        <w:t>Il n’y a pas lieu de revenir sur les confiscations, destructions et restitutions, ordonnées par les premiers juges. La restitution à l’appelant D______ des avoirs saisis sous chiffre 1 de l'inventaire n° 9______ sera confirmée et la compensation entre ces avoirs et les frais de procédure mis à la charge de l’appelant D______ sera prononcée (art. 442 al. 4 CPP).</w:t>
      </w:r>
    </w:p>
    <w:p>
      <w:r>
        <w:rPr>
          <w:b/>
        </w:rPr>
        <w:t>E. 10</w:t>
      </w:r>
    </w:p>
    <w:p>
      <w:r>
        <w:t>Vu l'issue de l'appel du prévenu F______, ses conclusions en indemnisation seront rejetées (art. 429 CPP).</w:t>
      </w:r>
    </w:p>
    <w:p>
      <w:r>
        <w:rPr>
          <w:b/>
        </w:rPr>
        <w:t>E. 11.1</w:t>
      </w:r>
    </w:p>
    <w:p>
      <w:r>
        <w:t>L'art. 428 al. 1 CPP dispose que la partie qui retire son appel est considérée avoir succombé.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(AARP/291/2021 du 13 septembre 2021 consid. 8.1.3). La partie plaignante a obtenu gain de cause au sens de cette norme lorsque le prévenu a été condamné et/ou si les prétentions civiles ont été admises, à tout le moins partiellement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w:t>
      </w:r>
    </w:p>
    <w:p>
      <w:r>
        <w:rPr>
          <w:b/>
        </w:rPr>
        <w:t>E. 11.2</w:t>
      </w:r>
    </w:p>
    <w:p>
      <w:r>
        <w:t>A______ sera condamné au paiement de CHF 682.10 (1h35 x 400.- [CHF 633.35] + TVA à 7.7% [CHF 48.75]) à I______ à titre d'indemnité pour ses frais de défense en appel (art. 428 al. 1, 433 et 436 CPP).</w:t>
      </w:r>
    </w:p>
    <w:p>
      <w:r>
        <w:rPr>
          <w:b/>
        </w:rPr>
        <w:t>E. 12.1</w:t>
      </w:r>
    </w:p>
    <w:p>
      <w:r>
        <w:t>Selon l'art. 135 al. 1 CPP, le défenseur d'office – ou le conseil juridique gratuit (art. 138 al. 1 CPP) –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w:t>
      </w:r>
    </w:p>
    <w:p>
      <w:r>
        <w:t>- 65/73 - P/11148/2020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12.2</w:t>
      </w:r>
    </w:p>
    <w:p>
      <w:r>
        <w:t>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12.3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 CHF 100.- pour les collaborateurs / chefs d'étude, dite rémunération étant allouée d'office par la juridiction d'appel pour les débats devant elle.</w:t>
      </w:r>
    </w:p>
    <w:p>
      <w:r>
        <w:rPr>
          <w:b/>
        </w:rPr>
        <w:t>E. 12.4</w:t>
      </w:r>
    </w:p>
    <w:p>
      <w:r>
        <w:t>En l'occurrence, le temps facturé par la défenseure d'office de A______ est clairement excessif, étant observé que l'appel de celui-ci portait sur des points limités</w:t>
      </w:r>
    </w:p>
    <w:p>
      <w:r>
        <w:t>- 66/73 - P/11148/2020 (circonstances aggravantes du brigandage, peine, expulsion). Il sera ainsi considéré que 10h00 auraient été suffisantes pour préparer les débats d'appel, d'autant plus que le dossier était censé connu par le conseil qui venait de le plaider en première instance. À cet égard, le travail accompli par l'avocate-stagiaire de prise de connaissance du dossier et de préparation de la plaidoirie sur l'expulsion ne sera pas rémunéré, étant compris dans les heures admises pour la cheffe d'étude, ce qui lui est plus favorable, étant rappelé que le temps de formation du stagiaire n'est pas pris en charge par l'État. De même, seront retranchées les visites du client à l'établissement fermé de B______ des 1er et 2 juin 2023 par l'avocate-stagiaire, deux visites à si bref intervalle ne se justifiant pas. Le temps de l'entretien du 2 juin 2023 ne sera comptabilisé que pour la cheffe d'étude. Les heures consacrées à la rédaction des actes (déclaration d'appel et requête d'exécution anticipée) sont comprises dans le forfait.</w:t>
      </w:r>
    </w:p>
    <w:p>
      <w:r>
        <w:t>En conclusion, la rémunération sera arrêtée à CHF 6'385.75 correspondant à 19h40 d'activité au tarif de CHF 200.-/heure, 3h00 au tarif de CHF 150.-/heure et 7h30 au tarif de CHF 110.-/heure (CHF 5'208.35), plus la majoration forfaitaire de 10% (CHF 520.85), les déplacements de la cheffe d'étude aux débats d'appel (CHF 200.-), ainsi que la TVA au taux de 7.7% (CHF 456.55).</w:t>
      </w:r>
    </w:p>
    <w:p>
      <w:r>
        <w:rPr>
          <w:b/>
        </w:rPr>
        <w:t>E. 12.5</w:t>
      </w:r>
    </w:p>
    <w:p>
      <w:r>
        <w:t>Excepté 2h20 d'activités couvertes par le forfait, l'état de frais produit par la défenseure d'office de D______ satisfait les exigences légales et jurisprudentielles régissant l'assistance judiciaire gratuite en matière pénale. Dès lors, la rémunération de Me E______ sera arrêtée à CHF 3'730.45, correspondant à 20h05 d'activité au tarif de CHF 150.-/heure (CHF 3'012.50), plus la majoration forfaitaire de 10% (CHF 301.25), les déplacements à l'audience d'appel (CHF 150.-), ainsi que la TVA au taux de 7.7% (CHF 266.70).</w:t>
      </w:r>
    </w:p>
    <w:p>
      <w:r>
        <w:rPr>
          <w:b/>
        </w:rPr>
        <w:t>E. 12.6</w:t>
      </w:r>
    </w:p>
    <w:p>
      <w:r>
        <w:t>Considéré globalement, l'état de frais produit par Me H______, conseil juridique gratuit de G______, satisfait les exigences légales et jurisprudentielles régissant l'assistance judiciaire gratuite en matière pénale.</w:t>
      </w:r>
    </w:p>
    <w:p>
      <w:r>
        <w:t>La rémunération de Me H______ sera partant arrêtée à CHF 3'098.20 correspondant à 12h10 d'activité au tarif de CHF 200.-/heure (CHF 2'433.35), plus la majoration forfaitaire de 10% (CHF 243.35), les déplacements à l'audience d'appel (CHF 200.-), ainsi que la TVA au taux de 7.7% (CHF 221.50). * * * * *</w:t>
      </w:r>
    </w:p>
    <w:p>
      <w:r>
        <w:t>- 67/73 - P/11148/2020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