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AARP/291/2015 vom 29. Juni 2015</w:t>
      </w:r>
    </w:p>
    <w:p>
      <w:r>
        <w:t>GE Cour de justice, 2015-06-29, FR</w:t>
      </w:r>
    </w:p>
    <w:p>
      <w:r>
        <w:rPr>
          <w:b/>
        </w:rPr>
        <w:t xml:space="preserve">Quelle: </w:t>
      </w:r>
      <w:r>
        <w:t>https://mcp.opencaselaw.ch/entscheid/ge_gerichte_AARP_291_2015</w:t>
      </w:r>
    </w:p>
    <w:p>
      <w:r>
        <w:t>FR: GE_GERICHTE AARP/291/2015 du 29 juin 2015</w:t>
      </w:r>
    </w:p>
    <w:p>
      <w:r>
        <w:t>IT: GE_GERICHTE AARP/291/2015 del 29 giugno 2015</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- 7/19 - P/8181/2013</w:t>
      </w:r>
    </w:p>
    <w:p>
      <w:r>
        <w:t>La Chambre limite son examen aux violations décrites dans l'acte d'appel (art. 404 al. 1 CPP), sauf en cas de décisions illégales ou inéquitables (art. 404 al. 2 CPP).</w:t>
      </w:r>
    </w:p>
    <w:p>
      <w:r>
        <w:rPr>
          <w:b/>
        </w:rPr>
        <w:t>E. 1.2</w:t>
      </w:r>
    </w:p>
    <w:p>
      <w:r>
        <w:t>En l'espèce, la CPAR n'examinera pas la réalisation des conditions des infractions à l'art. 115 LEtr et de consommation intentionnelle de stupéfiants (art. 19a al. 1 LStup), réalisées à teneur du dossier et non contestées au stade de l'appel, qui ne porte, à cet égard, que sur la peine devant les sanctionner.</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rPr>
          <w:b/>
        </w:rPr>
        <w:t>E. 2.2</w:t>
      </w:r>
    </w:p>
    <w:p>
      <w:r>
        <w:t>L'art. 19 al. 1 let. c LStup punit d'une peine privative de liberté de trois ans au plus ou d'une peine pécuniaire celui qui, sans droit, aliène ou prescrit des stupéfiants, en procure de toute autre manière à un tiers ou en met dans le commerce. Selon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à condition que</w:t>
      </w:r>
    </w:p>
    <w:p>
      <w:r>
        <w:t>- 8/19 - P/8181/2013 ces actes n'aient pas pu conduire concrètement à la consommation de tiers (ATF 108 IV 198 consid. b ; SJ 1996 p. 341). Il faut que l'acte soit destiné exclusivement à permettre à l'auteur de se procurer la drogue pour sa propre consommation. Les actes comme la vente qui conduisent à la consommation de stupéfiants par des tiers ou qui créent un risque concret d'aboutir à ce résultat ne peuvent bénéficier du traitement privilégié prévu par l'art. 19a LStup (ATF 119 IV 180 consid. 2a p. 183 ; ATF 118 IV 200 consid. d p. 204 ; SJ 1996 p. 341) ; le cas privilégié suppose l'absence de mise en danger d'autrui (B. CORBOZ, Les infractions en droit suisse, 2e éd., Berne 2010, n. 120 ad art. 19 et les références citées). Par conséquent, celui qui, ne serait-ce que pour satisfaire ses propres besoins, se livre au trafic, vend ou permet à autrui, soit à des consommateurs potentiels, de se procurer de la drogue ne peut se prévaloir de l'article 19a al. 1 LStup (SJ 1996 p. 341).</w:t>
      </w:r>
    </w:p>
    <w:p>
      <w:r>
        <w:rPr>
          <w:b/>
        </w:rPr>
        <w:t>E. 2.3</w:t>
      </w:r>
    </w:p>
    <w:p>
      <w:r>
        <w:t>A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Conformément aux règles générales, agit intentionnellement quiconque commet un crime ou un délit avec conscience et volonté (art. 12 du Code pénal suisse du 21 décembre 1937 [CP ; RS 311.0]). La négligence est l'imprévoyance coupable commise par celui qui, ne se rendant pas compte des conséquences de son acte, agit sans user des précautions commandées par les circonstances et sa situation personnelle (art. 12 al. 3 CP). Dans le contexte de l'art. 95 al. 1 let. e LCR, l'auteur agit intentionnellement lorsqu'il sait que le conducteur à qui il cède l'usage de son véhicule n'est pas titulaire du permis requis et qu'en dépit de cela, il lui remet un pouvoir de disposer de ce véhicule (Y. JEANNERET, op. cit., n. 45 ad art. 95). 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w:t>
      </w:r>
    </w:p>
    <w:p>
      <w:r>
        <w:t>- 9/19 - P/8181/2013</w:t>
      </w:r>
    </w:p>
    <w:p>
      <w:r>
        <w:t>2.4.1. En l'espèce, D______ et C______ ont expliqué tant devant la police qu'en audience de confrontation avoir acheté du haschich à l'appelant aux périodes reprochées. Chaque témoignage renforce la crédibilité de l'autre, les doutes qui pourraient être émis à l'égard des déclarations de l'un au vu des dénégations de l'appelant perdant en force à la lumière des déclarations de l'autre, celles-ci corroborant l'idée que l'appelant n'était pas uniquement un consommateur, mais aussi un vendeur. Les ventes reprochées sont d'autant plus plausibles que le témoin F______ a évoqué des achats de haschich auprès de l'appelant, même s'il a par la suite modifié son récit. Le témoignage de G______ confirme également que l'appelant n'hésite pas à procurer à autrui de la drogue. Enfin, la balance électronique saisie au moment de l'arrestation de l'appelant, un matériel sophistiqué pour un acheteur désireux d'éviter les tromperies, et les quantités de haschich retrouvées sur lui à quelques jours d'intervalle (22 grammes le 8 mai 2013 et 25 grammes le 29 mai 2013), surprenantes pour un simple consommateur de marijuana, constituent des indices supplémentaires de son implication dans des ventes de haschich. Au vu de ce qui précède, la CPAR est convaincue que l'appelant a vendu les quantités de haschich qui lui sont reprochées dans les ordonnances valant actes d'accusation à D______ et C______. L'appelant a du reste admis à l'audience de première instance, par la voix de son conseil, ces ventes à demi-mots, soulignant n'avoir agi de la sorte que pour assurer sa consommation personnelle. Cette circonstance, dont la véracité n'est pas mise en cause, ne permet toutefois pas l'application de l'art. 19a LStup en l'espèce, cette disposition supposant l'absence de mise en danger de la santé d'un tiers, hypothèse exclue lorsqu'il y a eu vente. C'est sans compter que l'acte de vente a aussi eu pour effet de conduire à des consommations de drogue par des tiers. C'est dès lors à juste titre que le premier juge a reconnu l'appelant coupable d'infraction à l'art. 19 al. 1 LStup en sus de l'infraction à l'art. 19a LStup pour le haschich retrouvé sur l'appelant et dont il a été admis qu'il était destiné à sa consommation personnelle. Le jugement entrepris sera confirmé sur ce point.</w:t>
      </w:r>
    </w:p>
    <w:p>
      <w:r>
        <w:t>2.4.2. En prêtant le véhicule dont il était le détenteur à un conducteur non titulaire du permis de conduire, l'appelant a, du point de vue des éléments objectifs, réalisé le comportement typique réprimé à l'art. 95 al. 1 let. e LCR.</w:t>
      </w:r>
    </w:p>
    <w:p>
      <w:r>
        <w:t>Sur le plan subjectif, l'appelant n'a certes peut-être pas agi intentionnellement, mais il a fait preuve d'une négligence grossière en prêtant son véhicule à une simple</w:t>
      </w:r>
    </w:p>
    <w:p>
      <w:r>
        <w:t>- 10/19 - P/8181/2013 connaissance, sans procéder à aucune vérification, même minimale, comme interroger cette personne sur son droit de conduire. L'appelant ne pouvait croire sur la base d'une seule impression, nullement étayée par exemple par le fait qu'il l'avait déjà vue par le passé conduire, que celle-ci était titulaire du permis de conduire. Au demeurant, dans les circonstances du cas d'espèce, il était aisé de procéder à une vérification en demandant à voir le permis de conduire, ce qui n'a pas été fait. Quel qu'ait pu être le sentiment de l'appelant face au comportement du conducteur, son attitude doit dès lors être qualifiée de négligente.</w:t>
      </w:r>
    </w:p>
    <w:p>
      <w:r>
        <w:t>Au vu de ce qui précède, l'appelant doit être reconnu coupable d'infraction à l'art. 95 al. 1 let. e LCR par négligence. Le jugement entrepris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3.1.2.1. 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w:t>
      </w:r>
    </w:p>
    <w:p>
      <w:r>
        <w:t>3.1.2.2. La consommation de stupéfiants est passible d'une amende (art. 19a LStup). A teneur de l'art. 106 CP, sauf disposition contraire de la loi, le montant maximum de l'amende est de CHF 10'000.- (al. 1). Celle-ci, de même que la peine privative de liberté de substitution, doit être fixée en tenant compte de la situation de l'auteur afin</w:t>
      </w:r>
    </w:p>
    <w:p>
      <w:r>
        <w:t>- 11/19 - P/8181/2013 que la peine corresponde à la faute commise (al. 3). Un jour de détention correspond schématiquement à CHF 100.- d'amende (R. ROTH/L. MOREILLON, Commentaire romand du Code pénal I, Bâle 2009, n. 19 ad art. 106).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 3.1.3.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est un délit continu.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4.2 p. 11 ; arrêt du Tribunal fédéral 6B_1226/2013 du 31 mars 2014 consid. 1.1).</w:t>
      </w:r>
    </w:p>
    <w:p>
      <w:r>
        <w:t>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w:t>
      </w:r>
    </w:p>
    <w:p>
      <w:r>
        <w:t>- 12/19 - P/8181/2013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3.2.3.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 3.3.1.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- 13/19 - P/8181/2013 3.3.2.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t>3.4.1. En l'espèce, l'appelant a vendu de petites quantités d'une drogue aux effets nocifs mais certainement moins dévastateurs que des drogues dures. Lui sont reprochées des transactions de faible valeur et non un trafic à plus grande échelle ou un commerce lui assurant ses revenus. La faute de l'appelant ne peut toutefois être qualifiée de bénigne. Ses motivations relèvent d'un appât du gain facile, certes destiné à assurer sa propre consommation. La précarité de sa situation administrative ne justifie pas qu'il se soit tourné vers la délinquance. L'appelant a par ailleurs enfreint d'autres normes pénales appelant le prononcé d'une peine du même genre. Ce concours exige une augmentation de la peine dans une juste proportion. L'infraction par négligence à la LCR dénote une certaine nonchalance vis-à-vis des règles juridiques en vigueur. Le séjour illégal reproché, de plus de six ans sous réserve de quelques interruptions, illustre un mépris de la législation, l'appelant n'ayant en tout état rien entrepris à la suite de sa condamnation pour séjour illégal en 2008 pour remédier à sa situation. La collaboration à la procédure doit être qualifiée de moyenne, la portée de la reconnaissance immédiate de faits incontestables à teneur du dossier pouvant être relativisée et l'appelant s'étant contenté de maintenir sa vision des faits pour le surplus. La prise de conscience de l'appelant est limitée s'agissant des infractions à la LEtr, aux vagues déclarations relatives à l'organisation d'un prochain départ de Suisse n'ayant succédé aucune démarche concrète à teneur du dossier. Il ne fait preuve d'aucune remise en question concernant les stupéfiants, alors qu'il a déjà été condamné pour des délits de cette nature à quatre reprises. Il sera toutefois relevé que l'appelant semble souffrir d'addictions et que sa situation personnelle a pu être gravement péjorée depuis le printemps 2014.</w:t>
      </w:r>
    </w:p>
    <w:p>
      <w:r>
        <w:t>- 14/19 - P/8181/2013 Ainsi que l'a retenu le premier juge, un sursis est inenvisageable vu les antécédents spécifiques de l'appelant et le risque de réitération en l'absence de modification de la situation personnelle de l'appelant. Vu son statut administratif, un travail d'intérêt général n'entre pas en considération, ce qui n'est au demeurant pas plaidé. Les peines pourtant plus sévères qui ont été infligées à l'appelant par le passé étant restées sans effet, le prononcé d'une peine pécuniaire ne serait manifestement pas assez dissuasif pour le détourner de comportements similaires. Pour ces motifs, seule entre en considération une courte peine privative de liberté. La peine à prononcer est complémentaire à celle du 11 septembre 2014, point qui a été méconnu par le Tribunal de police, mais peut être revu par la CPAR même en l'absence de grief spécifique à cet égard afin d'éviter une décision inéquitable (art. 404 al. 2 CPP). Si la CPAR avait eu à connaître de l'ensemble des infractions reprochées, elle aurait arrêté, compte tenu de la gravité de la faute de l'appelant, du concours et des éléments de sa situation personnelle, une peine de six mois de privation de liberté. Le jugement entrepris sera dès lors réformé en ce sens que l'appelant est condamné à une peine privative de liberté de quatre mois, dite peine étant complémentaire à celle prononcée le 11 septembre 2014.</w:t>
      </w:r>
    </w:p>
    <w:p>
      <w:r>
        <w:t>3.4.2. L'amende fixée par le premier juge pour l'infraction à l’art. 19a LStup n'est pas critiquable. En effet, les quantités de stupéfiants détenues par l'appelant n'étaient pas négligeables, notamment le 29 mai 2013. Au demeurant, le montant de l'amende est dans la fourchette inférieure de l'échelle fixée par l'art. 106 al. 1 CP. Le jugement entrepris sera donc aussi confirmé sur ce point.</w:t>
      </w:r>
    </w:p>
    <w:p>
      <w:r>
        <w:rPr>
          <w:b/>
        </w:rPr>
        <w:t>E. 4</w:t>
      </w:r>
    </w:p>
    <w:p>
      <w:r>
        <w:t>L'appelant, qui obtient très partiellement gain de cause, supportera les trois quarts des frais de la procédure d'appel (art. 428 CPP), qui comprennent un émolument de jugement de CHF 1'800.- (art. 14 let. e du Règlement fixant le tarif des frais en matière pénale du 22 décembre 2010 [RTFMP ; E 4 10.03]), le solde étant laissé à la charge de l'Etat.</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6 janvier 2015. 5.2.1. Selon l'art. 135 al. 1 CPP, le défenseur d'office est indemnisé conformément au tarif des avocats de la Confédération ou du canton du for du procès. S'agissant d'une affaire soumise à la juridiction cantonale genevoise, c'est le droit genevois qui</w:t>
      </w:r>
    </w:p>
    <w:p>
      <w:r>
        <w:t>- 15/19 - P/8181/2013 s'applique, à savoir le règlement sur l'assistance juridique et l'indemnisation des conseils juridiques et défenseurs d'office en matière civile, administrative et pénale du 28 juillet 2010 (RAJ ; E 2 05.04). 5.2.2.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5.3</w:t>
      </w:r>
    </w:p>
    <w:p>
      <w:r>
        <w:t>En l'espèce, l'état de frais et honoraires de Me B______, comprenant 2h30 d'activité de chef d'étude au tarif horaire de CHF 200.-, est adéquat et conforme aux principes sus exposés. Il convient d'y ajouter le temps de l'audience d'appel, soit 30 minutes.</w:t>
      </w:r>
    </w:p>
    <w:p>
      <w:r>
        <w:t>- 16/19 - P/8181/2013 Au vu de ce qui précède, l'indemnisation sera accordée à hauteur de CHF 777.60 (indemnité forfaitaire de 20% [CHF 120.-] et TVA à 8% [CHF 57.60] incluses). * * * * *</w:t>
      </w:r>
    </w:p>
    <w:p>
      <w:r>
        <w:t>- 17/19 - P/8181/2013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