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AARP/28/2018 vom 26. Januar 2018</w:t>
      </w:r>
    </w:p>
    <w:p>
      <w:r>
        <w:t>GE Cour de justice, 2018-01-26, FR</w:t>
      </w:r>
    </w:p>
    <w:p>
      <w:r>
        <w:rPr>
          <w:b/>
        </w:rPr>
        <w:t xml:space="preserve">Quelle: </w:t>
      </w:r>
      <w:r>
        <w:t>https://mcp.opencaselaw.ch/entscheid/ge_gerichte_AARP_28_2018</w:t>
      </w:r>
    </w:p>
    <w:p>
      <w:r>
        <w:t>FR: GE_GERICHTE AARP/28/2018 du 26 janvier 2018</w:t>
      </w:r>
    </w:p>
    <w:p>
      <w:r>
        <w:t>IT: GE_GERICHTE AARP/28/2018 del 26 gennaio 2018</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mai 2008 consid. 7.3.4.5 = SJ 2008 I 373). Ce concept de coactivité montre qu'une personne peut être considérée comme auteur d'une infraction, même si elle n'en est pas l'auteur direct, c'est-à-dire si elle n'a pas accompli elle-même tous les actes décrits dans la disposition pénale (ATF 120 IV 17 consid. 2d p. 23 s.).</w:t>
      </w:r>
    </w:p>
    <w:p>
      <w:r>
        <w:t>- 9/21 - P/6345/2017 2.3.1. Le premier juge a retenu qu'il subsistait un doute quant à l'intention dans laquelle l'intimé avait pénétré dans la villa du plaignant G______, dès lors que celui- là avait été constant dans ses dénégations à cet égard et que la durée de la présence sur place des deux protagonistes, avant l'arrivée de la police, soit 20 minutes, tendait à corroborer leur version commune de la recherche d'un abri pour la nuit, quand bien même la présence d'un matelas n'était pas prouvée. Il en allait de même du fait qu'aucun autre objet que la menue monnaie, dérobée par D______, n'avait été subtilisé. 2.3.2. Il est incontestable que l'intimé séjourne en Suisse dans la précarité faute de statut administratif et de point d'ancrage, sans préjudice de sa toxicomanie. Il a certes évoqué une compagne à H______, enceinte de ses œuvres, auprès de laquelle il passait régulièrement la nuit, mais l'existence de cette femme et de sa grossesse sont pour le moins douteuses (cf. infra consid. 3.3.1) ; de même, la vague évocation d'un squat, manifestement dans le but de justifier la présence d'argent dissimulé dans une chaussette, n'emporte pas conviction ou, à tout le moins, ne suffit pas pour établir une possibilité de logement régulier. Or, on ne saurait, comme le suggère le MP, prendre l'intimé au mot, sous prétexte que cela lui est défavorable. Il ne résulte pas du dossier, et il n'est pas soutenu, que D______ était dans une situation plus stable. On ne peut ignorer que les deux hommes, interrogés séparément par la police, ont avancé la même justification à leur présence dans la villa, encore qu'ils ont pu s'entendre rapidement sur ce point au moment où ils ont réalisés que l'intervention de la police était en cours. Il est ainsi, dans une certaine mesure du moins, crédible que l'un comme l'autre étaient à la recherche d'un abri pour la nuit. Il est cependant au moins autant crédible qu'ils étaient déterminés à voler, étant rappelé que l'un d'eux a effectivement subtilisé de l'argent, que la précarité sus- évoquée leur confère un mobile et que, au mois de mars 2017 en tout cas, l'intimé n'était pas rétif à s'en prendre au patrimoine d'autrui, vu le vol commis quelques jours plus tard, dans un établissement public. Le fait qu'aucun autre objet appartenant au plaignant G______ n'ait été retrouvé sur l'un ou l'autre des deux protagonistes n'est pas dirimant, dans la mesure où on ignore si d'autres espèces, ou au moins d'autres biens susceptibles d'être facilement emportés et écoulés – ce qui n'est pas le cas d'"ordinateurs" – se trouvaient sur place. De toute façon, il se peut fort bien que l'intervention de la police ait empêché les deux hommes d'aller plus loin. Le détail des portes de commode ouvertes signalé par la policière entendue tend aussi à soutenir la thèse de l'intention de voler. Ce qui conduit à aborder la question de la durée de la présence sur place des deux hommes, soit une vingtaine de minutes au moment de l'arrivée de la police. Il est vrai que des cambrioleurs expérimentés agissent en principe avec rapidité, souvent en quelques minutes seulement, s'emparant des valeurs immédiatement disponibles pour aussitôt quitter les lieux, afin de limiter les risques. Pour autant, rien ne permet d'exclure que des hommes moins avertis agissent imprudemment et/ou</w:t>
      </w:r>
    </w:p>
    <w:p>
      <w:r>
        <w:t>- 10/21 - P/6345/2017 inefficacement. L'intimé, qui se plait à souligner son absence d'expérience en la matière, et dont la toxicomanie peut amoindrir l'habileté, a fort bien pu prendre du temps pour fouiller les lieux. Cela est d'ailleurs d'autant plus possible que, comme déjà dit, rien n'indique que d'autres espèces que les quelques CHF 15.- empochés par D______ ou valeurs comparables étaient présentes. Les deux hommes ont ainsi pu consacrer un certain temps à la vaine recherche d'objets à dérober. Le dossier ne contient guère d'indications quant à l'aspect, extérieur ou intérieur, de la villa de la partie plaignante, si ce n'est l'appréciation de la gendarme entendue comme témoin, qui a qualifié le salon de vieillot, ce qui pourrait, à la rigueur, aller dans le sens d'une maison abandonnée, mais est un indice faible, qui ne fait pas le poids face à la présence notamment d'ordinateurs. D'ailleurs, confronté à cet élément, l'intimé a affirmé qu'il s'était dit qu'il n'y avait peut-être personne à ce moment-là, ce qui revient à concéder qu'il ne croyait pas que la maison était inoccupée. Le témoin n'a en outre pas confirmé la présence d'un matelas. Il est peu probable qu'un tel détail aurait pu lui échapper dans l'obscurité, alors que l'intéressée a par ailleurs observé que des portes de commode avaient été ouvertes mais que le contenu n'en avait pas été vidé, et il est permis de supposer que la police aurait dans son rapport confirmé l'existence de la couche improvisée, vu les déclarations de l'intimé. En outre, le récit du prévenu reste peu compréhensible. Il n'est pas clair s'il affirme s'être rendu sur place porteur d'un matelas, ce qui parait hautement improbable, ou si la pièce de literie est censée avoir été déplacée dans la maison, alors que D______ n'en a pas parlé, et que les deux hommes auraient pu tout aussi bien se coucher sur un lit. Certes, la défense a affirmé qu'il était plus prudent de se coucher au salon plutôt que dans une chambre, en prévision d'une éventuelle arrivée impromptue, mais admettre ce raisonnement revient à nier la thèse de la maison abandonnée. En conclusion, des indices retenus à décharge par le premier juge, seul celui d'une plausible intention de rechercher un abri pour la nuit pourrait résister à l'examen, et il se heurte au fait que l'intention de voler est tout aussi crédible. Pour le reste, force est de constater que l'intimé et son comparse ont pénétré par effraction dans une maison meublée et garnie, dont rien ne permet donc de penser qu'elle était abandonnée ni même durablement inoccupée, qu'ils s'y s'ont attardés, se livrant à une fouille au moins partielle, et que le second s'est emparé de la monnaie déposée sur un bureau. Ces éléments, associés aux circonstances personnelles, établissent, au-delà de tout doute raisonnable, qu'ils ont pénétré dans la villa dans le but de voler et non de s'y installer pour la nuit. L'infraction de vol doit en outre être tenue pour achevée en ce qui concerne l'intimé également, quand bien même il n'a pas été trouvé porteur de valeurs subtilisées, dès lors que les deux hommes ont clairement agi en qualité de coauteurs, de sorte que leurs agissements respectifs leur sont imputables à tous deux, étant en particulier</w:t>
      </w:r>
    </w:p>
    <w:p>
      <w:r>
        <w:t>- 11/21 - P/6345/2017 rappelé que c'est ce prévenu qui a rompu la vitre et qu'il n'est pas resté à l'extérieur pendant que son comparse agissait. 2.3.3. L'appel du MP est partant admis sur ce point et le jugement entrepris réformé.</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w:t>
      </w:r>
    </w:p>
    <w:p>
      <w:r>
        <w:t>- 8/21 - P/6345/2017 consid. 2a p. 40 et les arrêts cités) ou encore lorsque le juge condamne le prévenu au seul motif que sa culpabilité est plus vraisemblable que son innocence (arrêts du Tribunal fédéral 6B_1145/2014 du 26 novembre 2015 consid. 1.2 et 6B_748/2009 du</w:t>
      </w:r>
    </w:p>
    <w:p>
      <w:r>
        <w:rPr>
          <w:b/>
        </w:rPr>
        <w:t>E. 2.2</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p. 155 ; ATF 130 IV 58 consid. 9.2.1 p. 66 ; ATF 125 IV 134 consid. 3a p. 136). La jurisprudence exige même que le coauteur ait une certaine maîtrise des opérations et que son rôle soit plus ou moins indispensable (arrêts du Tribunal fédéral 6B_419/2016 du 10 avril 2017 consid. 2.2 et les références ; 6B_645/2007 du</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w:t>
      </w:r>
    </w:p>
    <w:p>
      <w:r>
        <w:rPr>
          <w:b/>
        </w:rPr>
        <w:t>E. 6</w:t>
      </w:r>
    </w:p>
    <w:p>
      <w:r>
        <w:t>L'intimé, qui succombe, supportera les frais de la procédure envers l'Etat (art. 428 CPP), comprenant un émolument de CHF 1'200.- (art. 14 let. e du règlement fixant le tarif des frais en matière pénale du 22 décembre 2010 [RTFMP - E 4 10.03]).</w:t>
      </w:r>
    </w:p>
    <w:p>
      <w:r>
        <w:rPr>
          <w:b/>
        </w:rPr>
        <w:t>E. 7</w:t>
      </w:r>
    </w:p>
    <w:p>
      <w:r>
        <w:t>Conformément aux art. 135 al. 1 CPP, et 16 du règlement sur l'assistance juridique du 28 juillet 2010 (RAJ ; E 2 05.04), Me B______, défenseure d'office de l'intimé, se verra allouer une indemnité de CHF 756.-, pour deux heures trente d'activité de cheffe d'étude (CHF 500.-), le forfait couvrant l'activité diverse de moins de 30 heures pour l'ensemble de la procédure, par 20% (CHF 100.-), le déplacement à et de l'audience (CHF 100.-), et la TVA, au taux de 8%, selon la pratique transitoire du Pouvoir judiciaire (CHF 48.-).</w:t>
      </w:r>
    </w:p>
    <w:p>
      <w:r>
        <w:rPr>
          <w:b/>
        </w:rPr>
        <w:t>E. 8</w:t>
      </w:r>
    </w:p>
    <w:p>
      <w:r>
        <w:t>Pour plus de clarté, le dispositif du jugement sera entièrement annulé et reformulé.</w:t>
      </w:r>
    </w:p>
    <w:p>
      <w:r>
        <w:t>- 19/21 - P/6345/2017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