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AARP/28/2012 vom 31. Januar 2012</w:t>
      </w:r>
    </w:p>
    <w:p>
      <w:r>
        <w:t>GE Cour de justice, 2012-01-31, FR</w:t>
      </w:r>
    </w:p>
    <w:p>
      <w:r>
        <w:rPr>
          <w:b/>
        </w:rPr>
        <w:t xml:space="preserve">Quelle: </w:t>
      </w:r>
      <w:r>
        <w:t>https://mcp.opencaselaw.ch/entscheid/ge_gerichte_AARP_28_2012</w:t>
      </w:r>
    </w:p>
    <w:p>
      <w:r>
        <w:t>FR: GE_GERICHTE AARP/28/2012 du 31 janvier 2012</w:t>
      </w:r>
    </w:p>
    <w:p>
      <w:r>
        <w:t>IT: GE_GERICHTE AARP/28/2012 del 31 gennaio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2.1</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w:t>
      </w:r>
    </w:p>
    <w:p>
      <w:r>
        <w:t>- 4/5 - P/13194/2011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w:t>
      </w:r>
    </w:p>
    <w:p>
      <w:r>
        <w:rPr>
          <w:b/>
        </w:rPr>
        <w:t>E. 2.2</w:t>
      </w:r>
    </w:p>
    <w:p>
      <w:r>
        <w:t>En l’occurrence, il est vrai que l’appelant a fait preuve d’une bonne collaboration, dans la mesure où il a désigné spontanément aux policiers qui l’avaient interpellé le lieu où il s’était débarrassé des sachets de drogue qu’il venait de déterrer et leur a fait état de l’existence d’autres sachets encore, qu’il ne parvenait à retrouver. Il est vrai aussi qu’il n’a pas d’antécédents judicaires connus et qu’il est par ailleurs relativement jeune. Il faut cependant tenir compte également de ce que les explications données par l’appelant quant à l’origine de la drogue et son conditionnement ne sont pas vraisemblables. A cet égard, la collaboration de l’appelant n’était pas parfaite ; si l’on peut concevoir qu’il ait voulu taire les véritables circonstances dans lesquelles il est entré en possession de la drogue, notamment par crainte de représailles, il reste que rapidement après son arrivée en Suisse, l’appelant a su entrer en contact avec des trafiquants de stupéfiants auprès desquels il s’est procuré une quantité non négligeable en vue de la revendre. Ainsi, soit il est proche d’un réseau, soit il estimait être en mesure de se livrer seul au trafic. La portée des effets dissuasifs de la condamnation est partant quelque peu atténuée par les relations ou la personnalité de l’appelant. De surcroît, celui-ci a fait état d’une forte réticence à l’idée de regagner son pays alors que, comme le fait valoir le Ministère public, la poursuite de son séjour en Suisse l’exposerait à une vie d’expédients. Dans ces circonstances, un risque de récidive existe, qu’il convient de contenir, en s’écartant du minimum légal du délai d’épreuve. Ce risque n’est cependant pas si important qu’il justifierait la durée maximale. Un délai de trois ans est approprié. Le jugement entrepris sera modifié dans cette mesure.</w:t>
      </w:r>
    </w:p>
    <w:p>
      <w:r>
        <w:rPr>
          <w:b/>
        </w:rPr>
        <w:t>E. 3</w:t>
      </w:r>
    </w:p>
    <w:p>
      <w:r>
        <w:t>L'appel ayant été admis dans une large mesure, il ne sera pas perçu de frais (art. 428 CPP a contrario). * * * * *</w:t>
      </w:r>
    </w:p>
    <w:p>
      <w:r>
        <w:t>- 5/5 - P/13194/2011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