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AARP/288/2022 vom 21. September 2022</w:t>
      </w:r>
    </w:p>
    <w:p>
      <w:r>
        <w:t>GE Cour de justice, 2022-09-21, FR</w:t>
      </w:r>
    </w:p>
    <w:p>
      <w:r>
        <w:rPr>
          <w:b/>
        </w:rPr>
        <w:t xml:space="preserve">Quelle: </w:t>
      </w:r>
      <w:r>
        <w:t>https://mcp.opencaselaw.ch/entscheid/ge_gerichte_AARP_288_2022</w:t>
      </w:r>
    </w:p>
    <w:p>
      <w:r>
        <w:t>FR: GE_GERICHTE AARP/288/2022 du 21 septembre 2022</w:t>
      </w:r>
    </w:p>
    <w:p>
      <w:r>
        <w:t>IT: GE_GERICHTE AARP/288/2022 del 21 settembre 2022</w:t>
      </w:r>
    </w:p>
    <w:p>
      <w:pPr>
        <w:pStyle w:val="Heading2"/>
      </w:pPr>
      <w:r>
        <w:t>Erwägungen</w:t>
      </w:r>
    </w:p>
    <w:p>
      <w:r>
        <w:rPr>
          <w:b/>
        </w:rPr>
        <w:t>E. 1.1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1.2</w:t>
      </w:r>
    </w:p>
    <w:p>
      <w:r>
        <w:t>Est en revanche irrecevable la conclusion de Me B______ en indemnisation des frais d'interprète.</w:t>
      </w:r>
    </w:p>
    <w:p>
      <w:r>
        <w:t>- 5/13 - P/16572/2020 En effet, seule la voie du recours est ouverte au conseil d'office qui souhaite contester la quotité insuffisante de l'indemnité qui lui a été accordée, même si la question de l'indemnité est traitée, en cas d'appel du jugement, dans cette dernière procédure (ATF 140 IV 213 consid. 1.4 ; ATF 139 IV 199 consid. 5.6). Le délai pour former une telle contestation est donc celui fixé en matière de recours, soit dix jours (art. 396 al. 1 CPP). Le délai fixé par l'art. 396 al. 1 CPP court dès la notification du jugement motivé, la motivation devant cas échéant être demandée par le conseil d'office lui- même (arrêts du Tribunal fédéral 6B_659/2016 du 6 mars 2017 consid. 2.1 et 2.3 ; 6B_460/2016 du 27 février 2017 consid. 2.1 et 2.3 ; 6B_451/2016 du 8 février 2017 consid. 2.1 et 2.3 = SJ 2017 I 340 ; ATF 143 IV 40 consid. 3.4 et 3.6 = JdT 2017 IV p. 243). Ainsi, faute pour Me B______ d'avoir agi en temps utile, la CPAR n'entrera pas en matière sur sa demande de correction de l'indemnisation fixée par le TCO.</w:t>
      </w:r>
    </w:p>
    <w:p>
      <w:r>
        <w:rPr>
          <w:b/>
        </w:rPr>
        <w:t>E. 2</w:t>
      </w:r>
    </w:p>
    <w:p>
      <w:r>
        <w:t>L'appelant ne conteste pas son expulsion du territoire suisse, mais uniquement l'inscription de cette dernière au registre SIS.</w:t>
      </w:r>
    </w:p>
    <w:p>
      <w:r>
        <w:rPr>
          <w:b/>
        </w:rPr>
        <w:t>E. 2.1</w:t>
      </w:r>
    </w:p>
    <w:p>
      <w:r>
        <w:t>L'inscription de l'expulsion dans le système d'information Schengen (SIS) était jusqu'au 11 mai 2021 régie par le chapitre IV du règlement SIS II (règlement CE n° 1987/2006) relatif aux signalements de ressortissants de pays tiers aux fins de non-admission ou d'interdiction de séjour. Plusieurs arrêts publiés aux ATF traitent des conditions de l'inscription de l'expulsion dans le SIS sur la base de ce règlement (ATF 147 II 408 ; 147 IV 340 ; 146 IV 172 ; cf. également l'arrêt du Tribunal 6B_628/2021 du 14 juillet 2022). La Suisse a repris le nouveau règlement (UE) 2018/1861 sur l'établissement, le fonctionnement et l'utilisation du SIS dans le domaine des vérifications aux frontières, modifiant la convention d'application de l'accord de Schengen ainsi que modifiant et abrogeant le règlement (CE) n 1987/2006. Il est entré en vigueur pour la Suisse le 11 mai 2021 (RS 0.362.380.085) et donc applicable à la présente procédure. L'art. 21 du règlement se voit dans le nouveau règlement 2018/1861 agrémenté d'un chiffre supplémentaire. Sa teneur utile au cas d'espèce demeure cependant inchangée, en tant que l'art. 21 ch. 1 du règlement 2018/1861 prescrit comme l'ancien article que, avant d'introduire un signalement, l'État membre signalant vérifie si le cas est suffisamment approprié, pertinent et important pour justifier l'introduction du signalement dans le SIS. Il ressort également du nouveau comme de l'ancien règlement que le signalement dans le SIS suppose que la présence de la personne concernée, ressortissante d'un pays tiers, sur le territoire d'un État membre constitue une menace pour l'ordre public, la sécurité publique ou la sécurité nationale. L'art. 24 ch. 2 précise que tel peut être notamment le cas lorsque l'intéressé a été condamné dans un État membre</w:t>
      </w:r>
    </w:p>
    <w:p>
      <w:r>
        <w:t>- 6/13 - P/16572/2020 pour une infraction passible d’une peine privative de liberté d’au moins un an (let. a), qu'il existe des raisons sérieuses de croire qu'un ressortissant de pays tiers a commis une infraction pénale grave, y compris une infraction terroriste, ou il existe des indications claires de son intention de commettre une telle infraction sur le territoire d'un État membre (let. b) ou qu'un ressortissant de pays tiers a contourné ou tenté de contourner le droit national ou de l'Union relatif à l'entrée et au séjour sur le territoire des États membres (let. c). Vu le contenu similaire entre les deux actes, la jurisprudence découlant du premier s'applique au second. D'après le Tribunal fédéral, il ne faut pas poser des exigences trop élevées en ce qui concerne l'hypothèse d'une "menace pour l'ordre public et la sécurité publique". En particulier, il n'est pas nécessaire que la personne concernée constitue une menace concrète, actuelle et suffisamment grave affectant un intérêt fondamental de la société. Il suffit que la personne concernée ait été condamnée pour une ou plusieurs infractions qui menacent l'ordre public et la sécurité publique et qui, prises individuellement ou ensemble, présentent une certaine gravité. Ce n'est pas la quotité de la peine qui est décisive mais la nature et la fréquence des infractions, les circonstances concrètes de celles-ci ainsi que l'ensemble du comportement de la personne concernée. Par conséquent, une simple peine prononcée avec sursis ne s'oppose pas au signalement dans le SIS. La mention d'une peine privative d'au moins un an fait référence à la peine-menace de l'infraction concernée et non à la peine prononcée concrètement dans un cas d'espèce (ATF 147 IV 340 consid. 4.6 et 4.8).</w:t>
      </w:r>
    </w:p>
    <w:p>
      <w:r>
        <w:rPr>
          <w:b/>
        </w:rPr>
        <w:t>E. 2.2</w:t>
      </w:r>
    </w:p>
    <w:p>
      <w:r>
        <w:t>En l'espèce, il convient d'examiner si l'inscription de l'expulsion de l'appelant au registre SIS est proportionnée. L'appelant présente a priori un certain intérêt à la renonciation du prononcé de cette mesure, puisque l'inscription d'une expulsion au registre SIS constitue en principe une entrave à l'entrée dans les pays membres de l'espace Schengen (conformément à l'art. 14 al. 1 cum 6 al. 1 let. d Règlement (UE) 2016/399 du parlement européen et du conseil du 9 mars 2016 concernant un code de l'Union relatif au régime de franchissement des frontières par les personnes [code frontières Schengen] ; cf. également N. SCHNEIDER / D. GFELLER, Landesverweisung und das Schengener Informationssystem, Sicherheit &amp; Recht 1/2019, p. 10 et le Commentaire de l'Office fédéral de la justice de l'ordonnance sur la mise en œuvre de l'expulsion pénale du 20 décembre 2016, p. 10). L'inscription mettrait probablement à néant ses chances d'obtenir l'asile en Belgique, étant précisé qu'on ignore si, au regard des accords de Dublin, l'appelant possède, avec ou sans inscription de son expulsion au registre SIS, une quelconque chance d'obtenir l'asile, qui serait irrecevable s'il a déjà introduit une demande d'asile autre part dans l'Union européenne ou les États</w:t>
      </w:r>
    </w:p>
    <w:p>
      <w:r>
        <w:t>- 7/13 - P/16572/2020 associés. En tout état, la Belgique, voire la France selon ses projets, pourrait autoriser l'appelant à entrer et rester sur son territoire pour des motifs humanitaires ou d'intérêt national ou en raison d'obligations internationales en dérogation de l'interdiction d'entrée (cf. art. 6 al. 5 let. c du code frontières Schengen), de sorte que son intérêt privé ne paraît pas foncièrement entravé par une inscription au registre SIS. Dans l'examen de cette dérogation, la Belgique ou la France pourront examiner les menaces pour son intégrité corporelle que l'appelant allègue, sans toutefois qu'il ne les rende un tant soit peu concrètes. À la lecture de l'Accord franco-algérien consolidé du 27 décembre 1968, il paraît très peu probable qu'il puisse bénéficier de plein droit en France d'une autorisation de séjour, prévue principalement pour les membres de la famille d'une personne déjà établie en France, entrés régulièrement en France. Il n'a aucune attache quelconque dans l'espace Schengen, de sorte que son intérêt à la renonciation du prononcé de cette mesure ne paraît en définitive que faible. À l'opposé, l'intérêt public est fort à l'inscription de son expulsion au registre SIS. La présence de l'appelant, ressortissant d'un pays tiers, sur le territoire d'un État membre constitue une menace pour l'ordre et la sécurité publiques. Il a été condamné à une peine privative de liberté de 36 mois, ce qui dépasse la peine-plancher prévue dans le règlement européen comme critère pour déterminer si sa présence en Suisse constitue une telle menace. Il a quatre antécédents, qui se succèdent sur une très brève période pénale. Contrairement à ce que l'appelant soutient, ils ne sont pas uniquement liés à sa situation irrégulière, mais portent également sur des infractions contre le patrimoine et des violences ou menaces contre des autorités et les fonctionnaires. Sa culpabilité dans la présente procédure, qu'il ne conteste pas, porte sur des faits très graves. Il a délibérément et lâchement porté atteinte à l'intégrité corporelle d'une autre personne et aurait pu sérieusement mettre sa vie en danger, pour un motif hautement futile. Le TF estime qu'une inscription au SIS est en tout état proportionnée lorsqu'un danger pour l'ordre et la sécurité publiques est donné, comme c'est le cas en l'espèce (ATF 146 IV 172 consid. 3.2.2). Il ne commande en tout état pas d'examiner les risques ou non de récidive de l'appelant, peu importe dès lors de savoir, contrairement à ce qu'il soutient, si son pronostic est favorable. Ainsi, aucun élément à la procédure ne permet de considérer que la mesure prise soit disproportionnée. Ainsi, l'inscription au registre SIS ordonnée par le TCO est confirmée, et l'expulsion est étendue à l'ensemble de l'espace Schengen. L'appel est rejeté.</w:t>
      </w:r>
    </w:p>
    <w:p>
      <w:r>
        <w:rPr>
          <w:b/>
        </w:rPr>
        <w:t>E. 3</w:t>
      </w:r>
    </w:p>
    <w:p>
      <w:r>
        <w:t>L'appelant, qui succombe, supportera les frais de la procédure envers l'État (art. 428 CPP).</w:t>
      </w:r>
    </w:p>
    <w:p>
      <w:r>
        <w:t>- 8/13 - P/16572/2020</w:t>
      </w:r>
    </w:p>
    <w:p>
      <w:r>
        <w:rPr>
          <w:b/>
        </w:rPr>
        <w:t>E. 4.1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4.2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- 9/13 - P/16572/2020 Ainsi, les communications et courriers divers sont en principe inclus dans le forfait (AARP/182/2016 du 3 mai 2016 consid. 3.2.2 ; AARP/501/2013 du 28 octobre 2013) de même que d'autres documents ne nécessitant pas ou peu de motivation ou autre investissement particulier en termes de travail juridique, telle l'annonce d'appel (AARP/184/2016 du 28 avril 2016 consid. 5.2.3.2 et 5.3.1 ; AARP/149/2016 du 20 avril 2016 consid. 5.3 et 5.4 ;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4.3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pour les stagiaires, dite rémunération étant allouée d'office par la juridiction d'appel pour les débats devant elle.</w:t>
      </w:r>
    </w:p>
    <w:p>
      <w:r>
        <w:rPr>
          <w:b/>
        </w:rPr>
        <w:t>E. 4.4</w:t>
      </w:r>
    </w:p>
    <w:p>
      <w:r>
        <w:t>En l'occurrence, l'activité déployée par le conseil de l'appelant ne paraît pas nécessaire au vu de l'unique et concise question traitée en appel. Il n'est ainsi pas justifié d'étudier pendant 1h45 le dossier, étant précisé que la préparation aux débats, indemnisée à hauteur de 3h, comprendra également l'examen de la procédure. Le second entretien du mois de mars sera retranché de l'état de frais, ainsi que le second du mois d'avril. Enfin, la rédaction des actes de procédure (déclaration et annonce d'appel, demande de dispense) est comprise dans le forfait, fixé à 10 et non 20 %, au vu de l'ampleur de l'activité déployée antérieurement. La durée des débats d'appel (40 minutes) sera indemnisée au tarif d'avocate-stagiaire en sus, tout comme la vacation au Palais de justice.</w:t>
      </w:r>
    </w:p>
    <w:p>
      <w:r>
        <w:t>n conclusion, la rémunération sera arr tée 1'741.51 correspondant à 5h05 heures d'activité au tarif de CHF 200.-/heure (CHF 1'016.67), 3h40 au tarif de CHF 110.- (CHF 403.33) plus la majoration forfaitaire de 10 % (CHF 142.-), une vacation CHF 55.- et l'é uivalent de la A au taux de . ( . ). * * * * *</w:t>
      </w:r>
    </w:p>
    <w:p>
      <w:r>
        <w:t>- 10/13 - P/16572/2020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