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AARP/288/2016 vom 20. Januar 2016</w:t>
      </w:r>
    </w:p>
    <w:p>
      <w:r>
        <w:t>GE Cour de justice, 2016-01-20, FR</w:t>
      </w:r>
    </w:p>
    <w:p>
      <w:r>
        <w:rPr>
          <w:b/>
        </w:rPr>
        <w:t xml:space="preserve">Quelle: </w:t>
      </w:r>
      <w:r>
        <w:t>https://mcp.opencaselaw.ch/entscheid/ge_gerichte_AARP_288_2016</w:t>
      </w:r>
    </w:p>
    <w:p>
      <w:r>
        <w:t>FR: GE_GERICHTE AARP/288/2016 du 20 janvier 2016</w:t>
      </w:r>
    </w:p>
    <w:p>
      <w:r>
        <w:t>IT: GE_GERICHTE AARP/288/2016 del 20 gennaio 2016</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Il en va de même du recours formé par Me B______ contre l'indemnité de procédure qui lui a été allouée en première instance (art. 135 al. 3 let. a et art. 396 al. 1 CPP), étant rappelé qu'une telle contestation doit être tranchée dans le cadre de la procédure d'appel lorsque, comme en l'espèce, le mandant du défenseur d'office a déposé un appel et qu'il est entré en matière sur celui-ci (ATF 139 IV 199 consid. 5.6 p. 204; ATF 140 IV 213 consid. 1.4 p. 214s).</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w:t>
      </w:r>
    </w:p>
    <w:p>
      <w:r>
        <w:t>- 27/45 - P/3801/2013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 124 IV 86 consid. 2a p. 87 ss).</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2.1.2. L'art. 19 al. 1 let. g LStup érige en infraction distincte le fait de prendre des mesures aux fins de réaliser l'une des infractions énumérées aux lettres a à f. Le législateur a ainsi incriminé spécifiquement toutes les formes de tentative de ces délits ainsi que certains actes préparatoires, antérieurs au seuil de la tentative, pour autant qu'ils soient caractérisés. Il faut que l'acte représente la forme extérieurement constatable et non équivoque de l'intention délictueuse ; il doit être destiné, de manière clairement apparente, à la commission de l'un des autres actes prohibés par l'art. 19 al. 1 LStup. De simples intentions, voire même des projets, ne suffisent pas (ATF 133 IV 187 consid. 3.2 p. 193ss, 130 IV 131 consid. 2.1 p. 135ss, 117 IV 309 consid. 1a p. 310ss; arrêts du Tribunal fédéral 6B_33/2011 du 7 novembre 2011 consid. 1.1, 6B_908/2008 du 5 février 2009, consid. 4.1 et 6B_325/2008 du 5 janvier</w:t>
      </w:r>
    </w:p>
    <w:p>
      <w:r>
        <w:t>- 28/45 - P/3801/2013 2009, consid. 5 ; CORBOZ, Les infractions en droit suisse, Volume II, 3e éd., 2010, n. 60 ad art. 19 LStup et les références citées). i. Infraction figurant sous point A.I.5 de l'acte d'accusation 2.2.1. Cette infraction repose principalement sur les écoutes téléphoniques figurant au dossier, étant précisé que l'appelant admet avoir tenu, avec RR______, surnommé "M______", fournisseur résidant en QQ______, les conversations portant sur la livraison à Genève, via le J______, d'une quantité de cocaïne initialement fixée à 1.2 kg, puis à 1 kg. Lors de l'audience de jugement, de même qu'en appel, le prévenu a certes soutenu qu'il s'agissait en réalité d'une simulation de transaction, dès lors qu'il n'avait aucunement l'intention de conclure une nouvelle opération avec le précité, puisque l'intéressé et ses associés, les dénommés "SS______" et UU______", avaient précédemment escroqué ses comparses et lui-même en remettant une valise vide à la mule O______, ce dont ils s'étaient aperçus à l'arrivée de celle-ci à Genève le 23 novembre 2012. Cette position n'est toutefois pas compatible avec le contenu des échanges qui ont lieu entre les protagonistes de cette transaction, dont les préparatifs ont débuté avant la date susmentionnée et se sont poursuivis bien au-delà, "M______" ayant apparemment convaincu l'appelant que l'échec de cette précédente livraison était du seul fait du dénommé "SS______". Il résulte en effet clairement des conversations intervenues entre l'appelant et "M______" qu'ils sont tombés d'accord sur la quantité de cocaïne à livrer, qu'ils ont discuté de la qualité et du prix de cette drogue, mais aussi de la personne devant la transporter jusqu'en Suisse, ainsi que de la planification de son voyage. Il ressort en particulier des écoutes qu'après avoir obtenu de son interlocuteur les coordonnées de N______ et de son document d'identité, l'appelant a acquis le billet d'avion devant permettre à cette mule d'effectuer la livraison, mais en pure perte, comme il l'a d'ailleurs admis lors des débats d'appel, celle-ci n'ayant pas pu voyager à la date prévue. Nonobstant cela, les intéressés ont poursuivi leurs tractations durant plusieurs semaines en prévoyant que la drogue serait finalement livrée par le dénommé "M______" lui-même, l'appelant réservant même un billet d'avion à son nom, avant d'abandonner l'opération en raison apparemment des trop nombreuses modifications de dates et d'itinéraires pour le transport de la cocaïne. Au vu de ce qui précède, il convient de retenir que l'appelant a bien pris des mesures aux fins d'acquérir et de faire livrer en Suisse, depuis l'Amérique du Sud, une quantité d'au moins un kilo de cocaïne, lesdites mesures étant constitutives d'actes préparatoires punissables au sens de l'art. 19 al. 1 let. g LStup. Il en irait d'ailleurs de même s'il fallait admettre que l'appelant n'entendait en définitive pas s'acquitter du prix de la drogue qu'il cherchait à importer afin de récupérer une partie de la perte subie lors de la précédente transaction.</w:t>
      </w:r>
    </w:p>
    <w:p>
      <w:r>
        <w:t>- 29/45 - P/3801/2013 ii. Infraction figurant sous point A.I.8 de l'acte d'accusation 2.2.2. Cette infraction résulte également des écoutes téléphoniques figurant à la procédure. Si l'appelant admet avoir tenu les propos qui lui sont reprochés avec le fournisseur, il soutient que l'affaire ne s'est pas concrétisée, faute d'être parvenus à un accord sur le prix de la drogue, de sorte que ces discussions n'atteindraient pas le seuil d'actes préparatoires punissables. Il ressort toutefois des conversations intervenues les 16 et 17 décembre 2012 que l'appelant cherchait une nouvelle source d'approvisionnement et a alors été mis en contact avec un fournisseur colombien, lequel a accepté d'ajouter pour lui 500 gr. de cocaïne à la quantité de drogue que O______ devait déjà transporter jusqu'en Europe, cela après avoir dû obtenir l'autorisation préalable de tierces personnes. Cette drogue devait, en quelque sorte, servir de test en vue d'éventuelles transactions futures. Dans leurs discussions, il est aussi question de la qualité de la cocaïne et du jour où elle partira d'Amérique du Sud, soit le mercredi suivant, et même du prix, à savoir EUR 5'000.-, que l'appelant demande à pouvoir payer en deux temps, soit la moitié tout de suite et le solde à l'arrivée de la mule. S'il est vrai que, dans leur dernière conversation enregistrée, l'appelant trouve le prix de la drogue trop élevé et qu'une discussion s'ensuit à ce sujet entre lui et le fournisseur, il n'en demeure pas moins que les négociations menées auparavant sont déjà constitutives d'actes préparatoires au sens de l'art. 19 al. 1 let. g LStup. Il en découle en effet que l'appelant a pris des mesures aux fins d'acquérir et de faire livrer en Suisse, depuis la P______, une quantité de 500 gr de cocaïne et cela, quand bien même il subsiste un doute quant à la question de savoir si l'affaire s'est ou non finalisée entre lui et le fournisseur colombien, puisque la discussion se termine par l'appelant disant à son interlocuteur qu'il va le rappeler avec un autre numéro, conversation qui n'a pu être interceptée. Il convient néanmoins de rappeler que O______ s'est fait arrêter à l'aéroport de Q______ le mercredi 19 décembre 2012 en possession de 6.5 kg de cocaïne. Le jugement entrepris doit donc aussi être confirmé sur ce point. iii. Infraction figurant sous point A.I.10 de l'acte d'accusation 2.2.3. L'appelant conteste cette infraction, en expliquant en substance que son rôle s'était limité à envoyer à F______ le montant de EUR 500.- qui constituait une dette qu'il avait envers le dénommé "MM______", frère d'K______. Il soutient en particulier que les autres versements effectués à cette époque étaient destinés à la même personne, s'agissant du produit de la vente de 125 gr. de cocaïne, provenant du solde de 250 gr. subsistant de celle livrée à fin décembre 2012, fait qui n'est corroboré par aucun élément du dossier, étant encore rappelé que l'appelant n'a cessé de modifier ses dires au sujet de ce qu'il était advenu de ces 250 gr. Il ressort bien au</w:t>
      </w:r>
    </w:p>
    <w:p>
      <w:r>
        <w:t>- 30/45 - P/3801/2013 contraire des écoutes téléphoniques que l'appelant était lui-même en contact direct avec K______ en relation avec la livraison que devait effectuer R______, et qu'il suivait de très près ce que faisait cette mule, se préoccupant en particulier de la date de son arrivée dans le pays et de la durée de son séjour. Ces conversations et sms démontrent aussi qu'il a participé au financement de l'acquisition de la cocaïne en question, en adressant trois versements totalisant CHF 7'500.- audit fournisseur, auquel il comptait encore envoyer de l'argent suite à l'arrivée de la mule au J______, une partie de la drogue devant être transportée par cette dernière lui étant destinée. Cela est encore corroboré par la conversation que l'appelant a eue, le 28 janvier 2013, avec son amie WW______, lors de laquelle il lui indique "heureusement que le mec de là-bas en haut a 5mil que lui ai envoyé", faisant ainsi clairement allusion à l'argent transmis à K______, d'autant qu'il ajoute avoir actuellement trois mules qui étaient à tout le moins susceptibles de "voyager" ("écoute, j'en ai 3, que je suis en train de faire depuis un moment"). En sus de V______, la BStup avait d'ailleurs identifié deux autres personnes se disant prêtes à fonctionner comme mule (cf rapport de synthèse du 10 mars 2014, pièce C-1'559), lesquelles peuvent correspondre aux deux femmes blanches mentionnées par l'appelant lors de sa conversation du 13 janvier 2013 avec F______, la troisième pouvant être W______, qui venait d'arriver au J______ à ce moment-là. C'est ainsi à juste titre que le TCrim a retenu que le prévenu s'est rendu coupable d'infraction grave à la loi sur les stupéfiants, en prenant des mesures aux fins d'acquérir et de faire livrer depuis le J______ en Suisse, une quantité d'à tout le moins plusieurs centaines de grammes de cocaïne, lesdites mesures étant constitutives d'actes préparatoires au sens de l'art. 19 al. 1 let. g LStup. 2.2.4. Le verdict de culpabilité rendu en première instance doit ainsi être intégralement confirmé, les autres infractions n'étant pas contestées par l'appelant et étant, au demeurant, conformes aux éléments résultant du dossier.</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w:t>
      </w:r>
    </w:p>
    <w:p>
      <w:r>
        <w:t>- 31/45 - P/3801/2013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 juge pourra atténuer la peine en raison de l'aveu ou de la bonne coopération de l'auteur de l'infraction avec les autorités policières ou judiciaires (ATF 121 IV 202 consid. 2d/aa p. 204 ; 118 IV 342 consid. 2d p. 349).</w:t>
      </w:r>
    </w:p>
    <w:p>
      <w:r>
        <w:t>3.1.2. En matière de trafic de stupéfiants, il y a lieu de tenir compte, plus spécialement, des circonstances suivantes (arrêt du Tribunal fédéral 6B_843/2014 du</w:t>
      </w:r>
    </w:p>
    <w:p>
      <w:r>
        <w:rPr>
          <w:b/>
        </w:rPr>
        <w:t>E. 3.2</w:t>
      </w:r>
    </w:p>
    <w:p>
      <w:r>
        <w:t>En l'espèce, la faute de l'appelant est très lourde, puisqu'il s'est livré pendant plusieurs mois à un trafic de stupéfiants de dimension internationale, portant sur de nombreux kilos de cocaïne. Celle interceptée présentait un taux de pureté particulièrement élevé, compris entre 67 et 78 %, propre à mettre en danger la santé de nombreuses personnes, ce qu'il ne pouvait ignorer. Un tel degré de pureté est aussi révélateur de l'importance du bénéfice pouvant être escompté, puisqu'il permet plusieurs opérations de coupage successives autorisant chaque fois des ventes rémunératrices. L'appelant a d'ailleurs lui-même chiffré à une somme de "770'000.-" - qui ne peut s'entendre qu'en euros, voire en francs suisse ou en dollars américains, mais non en francs CFA comme il le prétend, puisque cela représenterait moins de CHF 1'500.- -, les pertes financières subies par ses comparses et lui-même consécutivement au "retour à vide" de O______, au faux bond de V______ et à l'arrestation de T______, qui fut encore suivie de celle de W______. Le dernier revers subi que la police n'est pas parvenue à identifier peut éventuellement</w:t>
      </w:r>
    </w:p>
    <w:p>
      <w:r>
        <w:t>- 34/45 - P/3801/2013 correspondre au jeune homme interpellé à Zurich, en provenance de Sao Paulo, dont l'appelant fait état dans sa conversation du 22 novembre 2012 avec le dénommé "M______". La liberté décisionnelle de l'appelant est restée entière tout au long de ses agissements et le grand nombre d'opérations entreprises en l'espace d'un semestre témoigne d'une très intense volonté délictuelle. Si les éléments contenus dans la procédure ne permettent pas de retenir qu'il était à la tête d'un réseau, il s'est néanmoins associé à d'autres personnes pour mener à bien son trafic, profitant parfois d'une livraison organisée par l'une d'entre elles pour obtenir de la cocaïne pour son propre compte. Son activité répréhensible s'est déployée dans différents secteurs du trafic, puisque l'appelant a recruté ou fait recruter des mules, mis sur pied ou supervisé l'organisation de leur voyage, participant à des degrés divers à l'importation d'importantes quantités de drogue. Il était lui-même en contact direct avec différents fournisseurs en Amérique du Sud, contribuait au financement des achats et transports de drogue, réceptionnant celle-ci et la vendant à une clientèle elle-même composée d'autres vendeurs, voire de semi-grossistes, procédant aussi au coupage des stupéfiants. Son rôle dans le trafic a été à tout le moins celui de semi-grossiste. La procédure a aussi révélé que l'appelant était sans cesse à la recherche d'autres sources d'approvisionnement et de nouvelles mules, en ayant parfois plusieurs qui étaient prêtes à voyager en même temps, et qu'il a persévéré avec détermination, malgré de nombreux échecs et sans se laisser abattre par l'adversité, seule son arrestation ayant mis fin à son activité illicite. Sa collaboration à l'enquête se révèle moyenne et la prise de conscience de la gravité de ses actes n'est que partielle, puisqu'il persiste jusqu'en appel à minimiser son implication dans le trafic, n'ayant pas non plus hésité à tenter de reporter la responsabilité de ses agissements sur certains de ses comparses. Son mobile est égoïste, seul l'appât du gain ayant guidé ses actes. En dépit de l'importance des peines prononcées en 2007, apparemment non exécutées, les antécédents espagnols de l'appelant n'apparaissent pas suffisamment significatifs pour être pris en considération comme facteur aggravant dans la mesure où ils semblent concerner exclusivement des actes liés à la consommation de stupéfiants. De même, bien qu'elles soient très troublantes, les déclarations que l'appelant a faites à son amie WW______ et au dénommé "M______" sont insuffisantes pour retenir qu'il s'adonnait au trafic de stupéfiants depuis plusieurs années, une vantardise de sa part ne pouvant en particulier pas être exclue. A la décharge de l'appelant, il convient de tenir compte du fait qu'il s'est auto- incriminé pour deux parmi les treize infractions retenues contre lui, même s'il s'est attribué un rôle très modeste dans le cadre de ces deux opérations. Cela n'est de loin pas suffisant pour le mettre au bénéfice de la circonstance atténuante du repentir</w:t>
      </w:r>
    </w:p>
    <w:p>
      <w:r>
        <w:t>- 35/45 - P/3801/2013 sincère, au vu précisément de l'ampleur dudit trafic et du fait qu'il persiste à contester certaines des infractions qui lui sont reprochées. A cela s'ajoute aussi le fait que ces aveux sont intervenus assez tardivement et à une époque où l'appelant pouvait légitimement craindre que l'existence de ces deux premières livraisons soit révélée par O______ et/ou K______ dans le cadre des CRI qui avaient alors été décernées en P______ et au J______ aux fins de procéder à leur audition. Par ailleurs, à l'instar des premiers juges, la CPAR considère que l'atténuante prévue à l'art. 19 al. 3 let. a. LStup doit être prise en considération dans une mesure limitée, puisque si certaines livraisons de stupéfiants n'ont pas abouti, ce n'est pas en raison d'un comportement louable de l'appelant, mais bien plutôt en raison de circonstances extérieures indépendantes de sa volonté, telles l'arrestation ou le désistement de mules. Compte tenu de l'ensemble de ces éléments, la peine privative de liberté de neuf ans prononcée en première instance est adaptée à la culpabilité de l'appelant et doit être confirmée. Elle n'enfreint nullement le principe d'égalité de traitement puisque la peine inférieure infligée à son co-prévenu, C______, se justifie principalement par le fait qu'il a commis moins de la moitié des infractions qui sont reprochées à l'appelant. Il en va de même en ce qui concerne celle prononcée à l'encontre de F______ qui, outre son jeune âge, a participé à des degrés divers, tout comme l'appelant, à trois des mêmes infractions, avant de mettre sur pied une nouvelle opération, qui s'est soldée par son arrestation et celle de la mule. La peine, un peu moins élevée que celle de l'appelant, infligée à E______, n'est pas non plus critiquable, même si son cas est plus difficilement comparable en l'absence de toute infraction commise en commun et aussi du fait qu'en sus d'avoir pris, par trois fois, des mesures aux fins d'importer en Suisse une quantité totale de l'ordre de 5.7 kg de cocaïne, il lui était essentiellement reproché d'avoir vendu plus de trois kilos de cette drogue sur le marché local. Enfin, il va de soi qu'aucune comparaison ne peut être tirée de la condamnation prononcée au J______ à l'encontre de K______, qui paraît être sans commune mesure avec celle qui aurait pu lui être infligée en Suisse pour les mêmes faits, même en tenant compte de ses deux antécédents spécifiques. Les appels doivent ainsi être rejetés. 4. L'appelant A______, qui succombe, supportera la moitié des frais de la procédure d'appel, comprenant un émolument de jugement de CHF 5'000.- (art. 428 al. 1 CPP et 14 al. 1 let. e du Règlement fixant le tarif des frais en matière pénale du 22 décembre 2010 - RTFMP ; RS/GE E 4 10.03), le solde étant laissé à la charge de l'État vu la qualité du MP.</w:t>
      </w:r>
    </w:p>
    <w:p>
      <w:r>
        <w:t>- 36/45 - P/3801/2013 5. 5.1.1.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intervenue en l'espèce le 26 mai 2015.</w:t>
      </w:r>
    </w:p>
    <w:p>
      <w:r>
        <w:t>5.1.2. Selon l'art. 135 al. 1 CPP, le défenseur d'office est indemnisé conformément au tarif des avocats de la Confédération ou du canton du for du procès. A Genève, l'art. 16 du règlement sur l'assistance juridique du 28 juillet 2010 (RAJ ; E 2 05.04) s'applique, disposition qui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5.1.3.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w:t>
      </w:r>
    </w:p>
    <w:p>
      <w:r>
        <w:t>- 37/45 - P/3801/2013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Ainsi, les communications et courriers divers sont en principe inclus dans le forfait, de même que d'autres documents ne nécessitant pas ou peu de motivation ou autre investissement particulier en termes de travail juridique, telle l'annonce d'appel (AARP/304/2015 du 16 juillet 2015), la déclaration d'appel (ordonnance de la Cour des plaintes du Tribunal pénal fédéral BB.2014.51 du 21 novembre 2014 consid. 2.1 ; décisions de la Cour des plaintes du Tribunal pénal fédéral BB.2013.165 du 24</w:t>
      </w:r>
    </w:p>
    <w:p>
      <w:r>
        <w:t>- 38/45 - P/3801/2013 janvier 2014 consid. 4.1.3 et BB.2013.127 du 4 décembre 2013 consid. 4.2) ou encore la requête d'exécution anticipée de la peine (décision de la Cour des plaintes du Tribunal pénal fédéral BB.2013.22 du 31 octobre 2013 consid. 5.2.3). 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 séparée admise : AARP/86/2016 du 10 mars 2016 consid. 6.2 et AARP/288/2015 du 14 avril 2015 consid. 5.2.1 ; refusée : AARP/472/2015 du 16 octobre 2015 consid. 7.3, AARP/295/2015 du 12 juillet 2015 consid. 8.2.3 et 8.3.1.1, et AARP/433/2014 du 7 octobre 2014). De même,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(AARP/184/2016 du 28 avril 2016 consid. 5.3.1 et AARP/158/2016 du 22 avril 2016 consid. 6.3 [lecture du jugement admise]). 5.1.5.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 L'avocat d'office ne saurait être rétribué pour des activités qui ne sont pas nécessaires à la défense des intérêts de l'assisté ou qui consistent en un soutien moral (arrêt du Tribunal fédéral 5P.462/2002 du 30 janvier 2003 consid. 2.3 in fine et les références citées).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en principe d'une heure et 30 minutes pour les avocats et une heure pour les avocats-stagiaires, ce qui comprend le temps de déplacement.</w:t>
      </w:r>
    </w:p>
    <w:p>
      <w:r>
        <w:t>- 39/45 - P/3801/2013 Enfin,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(AARP/164/2016 du 14 avril 2016 consid. 6.3 ; AARP/102/2016 du 17 mars 2016 ; AARP/300/2015 du 16 juillet 2015).</w:t>
      </w:r>
    </w:p>
    <w:p>
      <w:r>
        <w:t>5.2.1. Dans son recours, Me B______ fait grief aux premiers juges d'avoir omis de comptabiliser une dizaine d'heures de son activité figurant dans ses deux états de frais intermédiaires (pièces 5 et 7 jointes audit recours) et d'avoir opéré des réductions excessives en déduisant 15 heures sur les postes "conférences" et "procédure" et 33 heures 15 sur le temps consacré à la préparation de l'audience de jugement. Il reproche en particulier au TCrim d'avoir déduit de son état de frais final (pièce 9) environ 10 heures d'entretiens avec son client (après imputation sur les 15h précitées des trois postes de "procédure" totalisant 5h15), motif pris qu'ayant été nommé le 11 août 2014, il avait dû s'entretenir plus longtemps avec lui que ce qui était habituellement admis en matière d'assistance juridique, d'autant que l'intéressé s'exprimait en espagnol. S'il avait excédé le temps usuel pour la préparation des débats de première instance, cela était dû au fait qu'il s'agissait d'un dossier complexe et volumineux et que les charges pesant sur son mandant étaient extrêmement graves, soulignant aussi qu'il avait obtenu un résultat remarquable puisque ce dernier avait été condamné à neuf ans de prison, alors qu'il avait conclu au prononcé d'une peine de huit ans au maximum et que le Ministère public avait requis quinze ans. Ainsi, seule une réduction de l'ordre d'un tiers des deux postes précités pouvait se justifier, de sorte qu'il convenait de lui accorder une indemnité complémentaire de 36 heures 30 à CHF 200.-/heure (10h + 6h30 [2/3 de 10 h] + 20h [2/3 de 33h]), forfait de 10 % en sus. Le MP fait valoir que les 138 heures 15 admises par les premiers juges, auxquelles s'ajoute la durée effective de l'audience (18h), sont amplement suffisantes, notamment en comparaison des 168 heures 50 admises pour le second conseil du co- prévenu de l'appelant, lequel avait été nommé le 2 juillet 2013 et avait participé à dix-sept audiences d'instruction contre trois seulement pour Me B______ (recte : deux, soit celles des 22.09.14 et 27.11.14 totalisant 7h, seul un avocat stagiaire ayant participé à celle du 15.08.14), la préparation et la participation à de telles audiences nécessitant bien plus de temps que la seule prise de connaissance du procès-verbal consécutif. Il relève en particulier que les 100 heures consacrées à la prise de connaissance de la procédure sont manifestement exagérées, celle-ci pouvant justifier une période de l'ordre d'une semaine complète, soit 40 heures. Les 95 heures consacrées à la préparation de l'audience de jugement étaient tout aussi excessives, d'autant que le prévenu avait pour l'essentiel admis les faits reprochés dans l'acte d'accusation, le critère du résultat obtenu n'étant pas pertinent pour l'application de l'art. 135 CPP.</w:t>
      </w:r>
    </w:p>
    <w:p>
      <w:r>
        <w:t>- 40/45 - P/3801/2013 5.2.2. En l'espèce, en sus des 18 heures correspondant à la durée effective de l'audience de jugement, les premiers juges ont admis 138 heures 15 d'activité au tarif de chef d'étude sur les 195 heures facturées dans les trois états de frais (48h15 + 52h + 95h [total de 114h – 19h pour la durée estimée de l'audience]) et 4 heures 45 au tarif de stagiaire sur les 6 heures 45 facturées de ce chef, ladite réduction n'étant pas contestée. Plus de 100 heures (au lieu des 98h15 mentionnées) sont en particulier comptabilisées dans la rubrique "audiences et procédure" de l'état de frais final, ce qui laisse subsister 76 heures consacrées exclusivement à la préparation l'audience de jugement, toujours déduction faite l'estimation de la durée de celle-ci (19h) et des trois postes de "procédure" totalisant 5 heures 15, dont le recourant admet qu'il s'agit de prestations incluses dans le forfait pour l'activité diverse. Cela apparaît d'autant plus excessif que les états de frais intermédiaires comportaient déjà 44 heures (24h + 20h) pour l'étude du dossier et 24 heures supplémentaires (3 x 8h) pour la "lecture de pièces essentielles du dossier avant l'audience finale du 27 novembre 2014 (incluant les écoutes téléphoniques)", ce qui représente ainsi au total 144 heures d'étude de dossier et de préparation aux débats de première instance, ce qui est nettement exagéré. Cela justifiait en soi une réduction de ce poste global d'au moins un tiers, d'autant que le prévenu admettait les deux tiers des infractions qui lui étaient reprochées et que le résultat obtenu ne constitue pas un critère pertinent en matière d'indemnisation du défenseur d'office. S'agissant des "conférences avec le client", elles ont été facturées à hauteur de 25 heures (3h + 6h + 16h, déduction faite de celles des 14.08.14 et 16.02.15 accomplies par le stagiaire de 3h au total), bien que la première d'entre elles (1h30 le 16.07.14 ) soit antérieure à la nomination de Me B______ et n'a de ce fait pas à être indemnisée par l'assistance juridique, que deux autres totalisant 3 heures (celles des 12.11.14 et 02.12.14 de 3h au total) n'apparaissent pas avoir été effectuées puisque n'étant pas répertoriées dans la liste des visites tenue par la prison de Champ-Dollon et qu'en vertu de cette même liste, celle du 22 octobre 2014 (1h30) a été réalisée par le stagiaire. Enfin, une autre heure correspond en réalité à des entretiens téléphoniques avec Me FFF______, conseil du co-prévenu de l'appelant (2 x 0h30 les 9.02.15 et 09.03.15), soit à des actes qui sont en principe inclus dans le forfait pour l'activité diverse, à l'instar de toutes les autres prestations facturées, exception faite des deux audiences d'instruction auxquelles le recourant a participé et qui représentent globalement 7 heures. Ainsi, ce poste correspond en réalité à 18 heures d'activité de chef d'étude. Au demeurant, même s'il fallait néanmoins admettre la prise en compte de l'intégralité de ces 25 heures d'entretiens, auxquels s'ajoutent les 7 heures précitées, force est de constater que l'activité à prendre en considération représenterait 128 heures (96h [2/3 de 144h] + 25h + 7h) et resterait donc bien en-deçà du temps admis par le TCrim.</w:t>
      </w:r>
    </w:p>
    <w:p>
      <w:r>
        <w:t>- 41/45 - P/3801/2013 Le recours interjeté par Me B______ doit par conséquent être rejeté. 5.2.3. En application de l'art. 428 al. 1 CPP, il se justifie de mettre un émolument jugement de CHF 1'500.- à sa charge (art. 428 al. 1 CPP et 14 al. 1 let. e RTFMP).</w:t>
      </w:r>
    </w:p>
    <w:p>
      <w:r>
        <w:t>5.3. L'état de frais afférent à la procédure d'appel comporte 19 heures 30 pour les conférences avec le client, dont une effectuée par un stagiaire (celle du 17.12.15 de 1 h 30) et quatre autres, totalisant 6 heures 30, qui sont antérieures à la saisine de la juridiction d'appel. Celle du 25 mars 2015 (1h30) consacrée à la préparation d'une nouvelle audience devant le MP sera admise en intégralité, puisqu'elle ne pouvait être facturée auparavant, alors que seules 3 heures sur les 5 autres heures seront exceptionnellement prises en considération en lien avec l'opportunité de faire appel. Ce poste représente ainsi 16 heures d'activité de chef d'étude. La rubrique "audiences et procédure" comprend 68 heures, dont une d'activité du stagiaire (08.01.16), 32 heures pour la préparation de l'audience (4 x 8h) et 6h pour la durée estimée de celle-ci, ainsi que 10 heures au total (2 x 4h + 2h) pour la prise de connaissance du jugement motivé du TCrim, respectivement des pièces d'exécution de la CRI décernée au J______ et du jugement rendu contre E______. Le temps consacré à l'examen de ces pièces apparaît excessif et sera réduit de 3 heures, étant précisé, en lien avec la CRI précitée, que seuls les jugements rendus les 27 mai 2014 (15 pages) et 26 juin 2015 (12 pages) contre K______ pouvaient présenter un certain intérêt pour l'appelant, mais assez limité, tout comme celui rendu contre le premier nommé, faute d'infractions commises en commun. La durée de la préparation aux débats d'appel est aussi exagérée, d'autant que les arguments développés en première et seconde instance apparaissent très similaires, poste qui sera ramené à 18 heures, une déduction de 15 minutes devant encore être opérée pour tenir compte de la durée effective des deux audiences, vacations comprises. Enfin, cette rubrique comporte encore 4 heures 45 de prestations qui sont incluses dans le forfait pour l'activité diverse, s'agissant en particulier des 3 heures consacrées à la rédaction de la déclaration d'appel qui, contrairement au recours adressé à la CPR (4h), n'avait pas à être motivée, mais aussi de la demande d'exécution anticipée de peine (0h30), de la prise de connaissance de la déclaration d'appel du MP (0h15), des observations du MP du 23 juin 2015 (0h30) et de l'ordonnance de la CPAR (0h30). C'est en définitive 49 heures d'activité de chef d'étude qui doivent être prises en compte à ce titre. En conclusion, l'indemnité de Me B______ pour la procédure d'appel sera arrêtée à CHF 14'686.65, correspondant à 61 heures d'activité au tarif de CHF 200.-/heure et 2 heures 30 à celui de CHF 65.-/heure, plus la majoration forfaitaire de 10 % (CHF 1'236.25) et l'équivalent de la TVA au taux de 8% en CHF 1'187.90, auxquels s'ajoutent CHF 200.- de frais d'interprète.</w:t>
      </w:r>
    </w:p>
    <w:p>
      <w:r>
        <w:t>* * * * *</w:t>
      </w:r>
    </w:p>
    <w:p>
      <w:r>
        <w:t>- 42/45 - P/3801/2013</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3.1.3. Compte tenu des nombreux paramètres qui interviennent dans la fixation de la peine, une comparaison avec des affaires concernant d'autres accusés et des faits différents est d'emblée délicate. Il ne suffit pas que le recourant puisse citer un ou</w:t>
      </w:r>
    </w:p>
    <w:p>
      <w:r>
        <w:t>- 32/45 - P/3801/2013 deux cas où une peine particulièrement clémente a été fixée pour prétendre à un droit à l'égalité de traitement (ATF 120 IV 136 consid. 3a p. 142 s. et les arrêts cités ; voir aussi ATF 123 IV 49 consid. 2e p. 52 s.).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t>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t>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w:t>
      </w:r>
    </w:p>
    <w:p>
      <w:r>
        <w:t>- 33/45 - P/3801/2013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3.1.5. Le repentir sincère visé à l'art. 48 lit. d CP suppose une prise de conscience du caractère répréhensible de l'infraction et un changement d'état d'esprit sincère du délinquant. Il n'est réalisé que si l'auteur a adopté un comportement particulier, désintéressé et méritoire, qui constitue la preuve concrète d'un repentir sincère.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 arrêt du Tribunal fédéral 6B_890/2015 du 16 décembre 2015 consid. 2.4.2).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Savoir si le geste du recourant dénote un esprit de repentir ou repose sur des considérations tactiques est une question d'appréciation des faits (arrêt du Tribunal fédéral 6B_614/2009 du 10 août 2009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