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AARP/288/2014 vom 11. Juni 2014</w:t>
      </w:r>
    </w:p>
    <w:p>
      <w:r>
        <w:t>GE Cour de justice, 2014-06-11, FR</w:t>
      </w:r>
    </w:p>
    <w:p>
      <w:r>
        <w:rPr>
          <w:b/>
        </w:rPr>
        <w:t xml:space="preserve">Quelle: </w:t>
      </w:r>
      <w:r>
        <w:t>https://mcp.opencaselaw.ch/entscheid/ge_gerichte_AARP_288_2014</w:t>
      </w:r>
    </w:p>
    <w:p>
      <w:r>
        <w:t>FR: GE_GERICHTE AARP/288/2014 du 11 juin 2014</w:t>
      </w:r>
    </w:p>
    <w:p>
      <w:r>
        <w:t>IT: GE_GERICHTE AARP/288/2014 del 11 giugno 2014</w:t>
      </w:r>
    </w:p>
    <w:p>
      <w:pPr>
        <w:pStyle w:val="Heading2"/>
      </w:pPr>
      <w:r>
        <w:t>Erwägungen</w:t>
      </w:r>
    </w:p>
    <w:p>
      <w:r>
        <w:rPr>
          <w:b/>
        </w:rPr>
        <w:t>E. 44</w:t>
      </w:r>
    </w:p>
    <w:p>
      <w:r>
        <w:t>et les références citées). 4.1.2.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- 27/32 - P/12099/2011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La référence à la gravité du trouble mental ne correspond pas à une description quantitative du dérangement psychique, mais signifie uniquement que le trouble mental doit être significatif sur le plan psychiatrique comme sur le plan juridique (ATF 6B_77/2012 du 18 juin 2012, c. 2.1.1 et les références citées).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(arrêt 6B_807/2010 du 7 juillet 2011 consid. 4.1; 6B_717/2010 du 13 décembre 2010 consid. 3.2;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(ATF 129 IV 161 consid. 4.3 p. 165; arrêt 6B_107/2011 du 23 mai 2011 consid. 5.2; 6B_581/2009 du 15 décembre 2009 consid. 3.2).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6B_947/2009 du 6 janvier 2010 consid. 3.3). Pour se prononcer sur la suspension de l'exécution d'une peine privative de liberté ferme, le juge doit se fonder sur une expertise psychiatrique (art. 56 al. 3 let. c CP en relation avec l'art. 63 CP; arrêt 6B_581/2009 du 15 décembre 2009 consid. 3.3;ATF 6B_335/2012 du 18 août 2012). Le traitement ambulatoire ne peut en règle générale excéder cinq ans (art. 63 al. 4).</w:t>
      </w:r>
    </w:p>
    <w:p>
      <w:r>
        <w:t>- 28/32 - P/12099/2011 4.1.3. Dans l'ATF 135 IV 180 du 18 juin 2009 (consid. 2.3., y compris les références citées), le Tribunal fédéral a relevé que sous l'empire des anciennes dispositions générales du Code pénal, il était de jurisprudence constante que l'octroi du sursis (ancien art. 41 CP) n'entrait pas en considération si une mesure de sûreté était ordonnée en application des anciens art. 43 ou 44 CP. Comme le prononcé d'une mesure supposait nécessairement l'existence d'un risque de récidive, il était en effet impossible d'appliquer ces dispositions tout en posant un pronostic favorable permettant l'octroi du sursis. Selon le Tribunal fédéral, il n'en va pas différemment en application du nouveau droit. Conformément à l'art. 59 al. 1 let. b CP (qui reprend le principe exprimé par l'art. 56 al. 1 let. a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4.2.1. En l'espèce, le pronostic quant au comportement futur du prévenu n’est pas défavorable, à tout le moins dans la mesure où un traitement sera ordonné (infra consid. 4.2.2.). Il n’a plus entretenu de contacts avec la partie plaignante depuis leur séparation et s’est marié au mois de mars 2012, une procédure de regroupement familial étant en cours pour permettre à son épouse d’origine ______ de le rejoindre en Suisse. Le déroulement des faits reprochés s’inscrit dans des circonstances particulières vécues par le couple qu’il formait avec la partie plaignante à un moment donné de leur relation. L’intimé A______ a également retrouvé une certaine indépendance financière, de sorte qu’il ne dépend plus de sa compagne pour subvenir à ses besoins ou l’entretenir. Il s’ensuit que les éléments ayant pu déclencher ou favoriser le trouble dont il souffre apparaissent désormais réduits, voire inexistants, ce qui permet d’atténuer le risque de récidive. Cela étant, il n’apparaît pas que le prévenu ait effectivement vécu à nouveau en ménage depuis sa séparation d’avec la partie plaignante et bien qu’il se soit marié depuis. Le risque de récidive ne peut donc être concrètement totalement écarté. Ces éléments justifient ainsi le prononcé d'un sursis partiel, la partie ferme de la peine constituant un avertissement marqué, autorisant un pronostic largement plus favorable pour l'avenir (ATF 134 IV 1 consid. 5.5.2 p. 14 s.). La peine privative de liberté de trois ans sera en conséquence assortie du sursis partiel, et la partie ferme à exécuter fixée à 18 mois, pour tenir compte de la gravité de la faute de l'intimé A______. Afin de limiter le risque de récidive, le délai d'épreuve sera fixé à deux ans. 4.2.2. La Cour considère, avec l'expert, que l'appelant a besoin d'un suivi thérapeutique qu’il n’a pas entrepris spontanément, sous forme d'un traitement ambulatoire, pour diminuer le risque qu'il adopte à nouveau ce type de comportement résultant du trouble délirant, notamment dans le cadre de sa nouvelle union.</w:t>
      </w:r>
    </w:p>
    <w:p>
      <w:r>
        <w:t>- 29/32 - P/12099/2011 Un traitement ambulatoire sera ordonné, sans suspension de l'exécution de la peine, celui-ci pouvant se dérouler en milieu pénitentiaire. En effet, les éléments environnementaux stabilisateurs évoqués par l'expert et qui auraient pu justifier d'une suspension de la peine n'existent plus, l'appelant étant sans emploi et ne vivant pas avec son épouse. 5) Dans la mesure où la partie plaignante n’a pas conclu au versement d’une juste indemnité pour les dépenses obligatoires occasionnées par la présente procédure, elle ne s’en verra pas accorder (art. 433 al. 2 CPP). 6) L’appel principal ayant été admis, l'appelant A______, qui succombe en majeure partie, supportera les deux tiers des frais de la procédure envers l'État (art. 428 CPP), comprenant dans leur totalité un émolument de CHF 2'500.- (art. 428 CPP ; art. 14 al. 1 let. e du Règlement fixant le tarif des frais en matière pénale, du 22 décembre 2010 [RTFMP ; E 4 10.03]). Le solde sera laissé à la charge de l’Etat. * * * * *</w:t>
      </w:r>
    </w:p>
    <w:p>
      <w:r>
        <w:t>- 30/32 - P/12099/2011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