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AARP/287/2018 vom 11. September 2018</w:t>
      </w:r>
    </w:p>
    <w:p>
      <w:r>
        <w:t>GE Cour de justice, 2018-09-11, FR</w:t>
      </w:r>
    </w:p>
    <w:p>
      <w:r>
        <w:rPr>
          <w:b/>
        </w:rPr>
        <w:t xml:space="preserve">Quelle: </w:t>
      </w:r>
      <w:r>
        <w:t>https://mcp.opencaselaw.ch/entscheid/ge_gerichte_AARP_287_2018</w:t>
      </w:r>
    </w:p>
    <w:p>
      <w:r>
        <w:t>FR: GE_GERICHTE AARP/287/2018 du 11 septembre 2018</w:t>
      </w:r>
    </w:p>
    <w:p>
      <w:r>
        <w:t>IT: GE_GERICHTE AARP/287/2018 del 11 settembre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quotité de la peine (let. b) et les frais (let. f).</w:t>
      </w:r>
    </w:p>
    <w:p>
      <w:r>
        <w:t>La Chambre limite son examen aux violations décrites dans l'acte d'appel (art. 404 al. 1 CPP), sauf en cas de décisions illégales ou inéquitables (art. 404 al. 2 CPP).</w:t>
      </w:r>
    </w:p>
    <w:p>
      <w:r>
        <w:t>- 6/13 - P/24541/2016</w:t>
      </w:r>
    </w:p>
    <w:p>
      <w:r>
        <w:rPr>
          <w:b/>
        </w:rPr>
        <w:t>E. 2</w:t>
      </w:r>
    </w:p>
    <w:p>
      <w:r>
        <w:t>L'appelant ne conteste plus, en appel, sa culpabilité, dûment établie par les éléments du dossier, y compris pour la vente d'une boulette de cocaïne le 28 décembre 2016, selon les observations de la police et les déclarations de l'acheteur.</w:t>
      </w:r>
    </w:p>
    <w:p>
      <w:r>
        <w:t>La Directive du Parlement européen et du Conseil du 16 décembre 2008 relative aux normes et procédures communes applicables dans les Etats membres au retour des ressortissants de pays tiers en séjour irrégulier (Directive sur le retour 2008/115/CE) ne trouve pas application, dans la mesure où l'appelant a également été condamné pour des infractions à la LStup et à l'art. 119 LEtr (arrêts du Tribunal fédéral 1B_422/2016 du 7 décembre 2016 consid. 2.2 ; 6B_1189/2015 du 13 octobre 2016 consid. 2.1 ; 6B_320/2013 du 29 août 2013 consid. 3.2).</w:t>
      </w:r>
    </w:p>
    <w:p>
      <w:r>
        <w:rPr>
          <w:b/>
        </w:rPr>
        <w:t>E. 3.1</w:t>
      </w:r>
    </w:p>
    <w:p>
      <w:r>
        <w:t>Les infractions à l'art. 19 al. 1 LStup et à l'art. 119 al. 1 LEtr sont passibles d'une peine privative de liberté de trois ans au plus ou d'une peine pécuniaire, tandis que le séjour illégal est puni d'une peine privative de liberté d'un an au plus ou d'une peine pécuniaire.</w:t>
      </w:r>
    </w:p>
    <w:p>
      <w:r>
        <w:rPr>
          <w:b/>
        </w:rPr>
        <w:t>E. 3.2</w:t>
      </w:r>
    </w:p>
    <w:p>
      <w:r>
        <w:t>Le séjour illégal au sens de l'art. 115 al. 1 let. b LEtr est un délit de durée, un délit continu. L'infraction est achevée au moment où le séjour prend fin (ATF 135 IV</w:t>
      </w:r>
    </w:p>
    <w:p>
      <w:r>
        <w:rPr>
          <w:b/>
        </w:rPr>
        <w:t>E. 6</w:t>
      </w:r>
    </w:p>
    <w:p>
      <w:r>
        <w:t>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4.2.2. Ces principes valent aussi pour le choix entre plusieurs sanctions possibles, et non seulement pour la détermination de la durée de celle qui est prononcée. Que ce soit par son genre ou sa quotité, la peine doit être adaptée à la culpabilité de l'auteur (arrêt du Tribunal fédéral 6B_611/2014 du 9 mars 2015 consid. 4.2).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 4.3.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w:t>
      </w:r>
    </w:p>
    <w:p>
      <w:r>
        <w:t>- 8/13 - P/24541/2016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(ATF 135 IV 87 consid. 2 p. 89). 4.4.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nouveau droit des sanctions en vigueur depuis le 1er janvier 2018 ne cumule plus les deux conditions précitées. Il est donc moins restrictif quant au prononcé d’une peine privative de liberté de moins de six mois et plus sévère puisqu’il n’érige plus en priorité le prononcé d’une peine alternative à la privation de liberté (art. 41 CP). 4.5. Le juge suspend en règle générale l'exécution d'une peine privative de liberté de six mois au moins et de deux ans au plus lorsqu'une peine ferme ne paraît pas nécessaire pour détourner l'auteur d'autres crimes ou délits (art. 42 al. 1 aCP). Sur le plan subjectif, le juge doit poser, pour l'octroi du sursis – ou du sursis partiel –, un pronostic quant au comportement futur de l'auteur. En l'absence de pronostic défavorable, il doit prononcer le sursis (ATF 135 IV 180 consid. 2.1 p. 185 s. ; ATF 134 IV 1 consid. 4.2.2 p. 5). 4.6.1. D'après l'art. 49 al. 1 CP, si, en raison d'un ou de plusieurs actes, l'auteur remplit les conditions de plusieurs peines de même genre, le juge le condamne à la peine de l'infraction la plus grave et l'augmente dans une juste proportion. 4.6.2. En cas de concours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consid. 2b p. 17 et les références ; arrêt du Tribunal fédéral 6B_685/2010 du 4 avril 2011 consid. 4.1). 4.7. Selon l'art. 46 CP, si, durant le délai d'épreuve, le condamné commet un crime ou un délit et qu'il y a dès lors lieu de prévoir qu'il commettra de nouvelles</w:t>
      </w:r>
    </w:p>
    <w:p>
      <w:r>
        <w:t>- 9/13 - P/24541/2016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t>4.8.1. En l'espèce, il convient d'observer, à titre préalable, que les actes de l'appelant ont été commis avant le 1er janvier 2018 et que le droit des sanctions antérieur à cette date lui apparaît plus favorable, de sorte qu'il en sera fait application. 4.8.2. Avec le Tribunal de police, la CPAR retient que la faute de l'appelant n'est pas négligeable. Outre à persister à séjourner en Suisse et à se rendre à Genève, alors qu'il sait faire l'objet d'une interdiction valable, il a vendu une drogue dite dure, qu'il ne consommait pas, par appât du gain facile. Il y a concours d'infractions, ce qui justifie une augmentation de la peine de l'infraction la plus grave, soit concrètement celle à l'art. 19 al. 1 LStup, dans une juste proportion. La collaboration de l'appelant à la procédure ne peut être qualifiée de bonne, vu ses dénégations en lien avec la vente du 28 décembre 2016. En outre, s'il a globalement admis les autres faits reprochés, il les minimise et ses excuses apparaissent n'être que de pure circonstance. Sa prise de conscience ne peut qu'être qualifiée de médiocre, tel qu'en témoigne la répétition de ses actes. Bien que précaire, sa situation personnelle ne saurait justifier ses agissements, celle- ci résultant surtout de son refus de quitter un pays où il séjourne illégalement et n'a aucune perspective de gain licite et régulier.</w:t>
      </w:r>
    </w:p>
    <w:p>
      <w:r>
        <w:t>Ses antécédents sont multiples et spécifiques. Au vu de la répétition des infractions de l'appelant, démontrant une certaine imperméabilité à la sanction pénale, et de sa situation personnelle et financière précaire, une peine pécuniaire n'apparaît pas dissuasive, étant observé que l'appelant a déjà été sanctionné par des jours-amende à trois reprises. Le pronostic est défavorable et seul le prononcé d'une courte peine privative de liberté ferme entre en</w:t>
      </w:r>
    </w:p>
    <w:p>
      <w:r>
        <w:t>- 10/13 - P/24541/2016 ligne de compte, ce que l'appelant concède, s'opposant surtout à la quotité de la peine fixée. Contrairement à ses dires, rien ne permet de considérer que sa relation avec sa copine le détournera de la récidive, n'ayant pas été le cas jusqu'ici. Les infractions en cause ayant été en partie commises avant la condamnation de l'appelant à une peine privative de liberté de six mois le 10 avril 2017, c'est à juste titre que le Tribunal de police a déclaré la peine partiellement complémentaire à cette dernière sanction. Par ailleurs, il sied encore de remarquer que, si le séjour illégal reproché ne relève pas d'une intention délictuelle différente des cas précédents, au vu du casier judiciaire de l'appelant, le plafond de douze mois fixé par la jurisprudence n'est quoi qu'il en soit pas encore atteint. Par conséquent, compte tenu des éléments précédemment exposés, et contrairement à ce que soutient l'appelant, une peine privative de liberté de trois mois sanctionne la faute commise de manière adéquate. Au surplus, la CPAR se ralliera à la décision du premier juge de révoquer les sursis octroyés les 21 mars et 22 septembre 2015 à l'appelant, lequel n'a pas hésité à réitérer ses actes délictueux dans les délais d'épreuve impartis. Il a récidivé même après avoir été condamné à une peine privative de liberté ferme de six mois, suite à laquelle les délais d'épreuve précédemment fixés ont par ailleurs été prolongés. Les autorités pénales ont épargné au prévenu la révocation des sursis octroyés à différentes reprises. La détention préventive substantielle effectuée dans ces contextes ne l'a pas non plus dissuadé. C'est donc bien plus qu'"une deuxième chance" qui a déjà été accordée à l'appelant, sans que celui-ci ne la saisisse. Partant, le jugement entrepris doit être confirmé. 5. L'appelant, qui succombe, supportera les frais de la procédure envers l'État, comprenant un émolument d'arrêt de CHF 1'000.- (art. 428 CPP et art. 14 al. 1 let. e du Règlement fixant le tarif des frais en matière pénale ; E 4 10.03).</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S'agissant d'une</w:t>
      </w:r>
    </w:p>
    <w:p>
      <w:r>
        <w:t>- 11/13 - P/24541/2016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chef d'étude CHF 200.- (let. c). En cas d'assujettissement, l'équivalent de la TVA est versé en sus.</w:t>
      </w:r>
    </w:p>
    <w:p>
      <w:r>
        <w:t>6.2.2.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En l'occurrence, l'état de frais déposé par le défenseur d'office de l'appelant apparaît conforme aux principes précités.</w:t>
      </w:r>
    </w:p>
    <w:p>
      <w:r>
        <w:t>L'indemnité due à Me B______ sera, par conséquent, arrêtée à CHF 775.45, correspondant à trois heures d'activité au tarif horaire de CHF 200.-, plus la majoration forfaitaire de 20% (CHF 120.-) et l'équivalent de la TVA au taux de 7.7% (CHF 55.45). * * * * *</w:t>
      </w:r>
    </w:p>
    <w:p>
      <w:r>
        <w:t>- 12/13 - P/24541/2016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