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AARP/287/2016 vom 19. April 2016</w:t>
      </w:r>
    </w:p>
    <w:p>
      <w:r>
        <w:t>GE Cour de justice, 2016-04-19, FR</w:t>
      </w:r>
    </w:p>
    <w:p>
      <w:r>
        <w:rPr>
          <w:b/>
        </w:rPr>
        <w:t xml:space="preserve">Quelle: </w:t>
      </w:r>
      <w:r>
        <w:t>https://mcp.opencaselaw.ch/entscheid/ge_gerichte_AARP_287_2016</w:t>
      </w:r>
    </w:p>
    <w:p>
      <w:r>
        <w:t>FR: GE_GERICHTE AARP/287/2016 du 19 avril 2016</w:t>
      </w:r>
    </w:p>
    <w:p>
      <w:r>
        <w:t>IT: GE_GERICHTE AARP/287/2016 del 19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- 10/17 - P/14937/2015</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2.1.2.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2.2.1. L'art. 139 ch. 1 CP punit d'une peine privative de liberté de cinq ans au plus ou d'une peine pécuniaire, celui qui, pour se procurer ou procurer à un tiers un enrichissement illégitime, aura soustrait une chose mobilière appartenant à autrui dans le but de se l'approprier. Si l'auteur fait métier du vol, il sera puni d'une peine privative de liberté de dix ans au plus ou d'une peine pécuniaire de 90 jours-amende au moins (art. 139 ch. 2 CP).</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123 IV 113 consid. 2c p. 116 et les arrêts cités).</w:t>
      </w:r>
    </w:p>
    <w:p>
      <w:r>
        <w:t>- 11/17 - P/14937/2015</w:t>
      </w:r>
    </w:p>
    <w:p>
      <w:r>
        <w:t>L'ensemble des infractions commises dans ce contexte est de par la loi envisagé comme une unité sur le plan juridique, si bien que l'art. 49 CP n'est pas applicable en cas de vol par métier et la tentative est absorbée.</w:t>
      </w:r>
    </w:p>
    <w:p>
      <w:r>
        <w:t>2.2.2.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2.3.1. En l'espèce, dans la nuit du 4 au 5 août 2015, l'appelant a été vu, pendant plusieurs heures, se déplacer avec une torche sur un parking et regarder à l'intérieur des voitures stationnées. Il a aussi été vu forcer la selle d'un scooter.</w:t>
      </w:r>
    </w:p>
    <w:p>
      <w:r>
        <w:t>Aucun élément du dossier ne permet de douter des observations de la police, dont le rapport a été confirmé de manière contradictoire par deux des gendarmes qui ont participé au dispositif de surveillance.</w:t>
      </w:r>
    </w:p>
    <w:p>
      <w:r>
        <w:t>A l'inverse, les explications de l'appelant, qui a beaucoup varié pour s'adapter aux éléments de l'enquête, ne sont pas crédibles. Il a d'abord nié s'être trouvé sur place au début de la période de surveillance, soutenant que la police aurait menti, puis a fourni des explications confuses pour justifier sa présence sur le parking et l'utilisation de la torche.</w:t>
      </w:r>
    </w:p>
    <w:p>
      <w:r>
        <w:t>Avec le premier juge, il sera retenu que l'appelant s'est bien rendu coupable d'une tentative de vol et de dommages à la propriété au préjudice de la partie plaignante E______, dont la selle du scooter a été endommagée.</w:t>
      </w:r>
    </w:p>
    <w:p>
      <w:r>
        <w:t>2.3.2. La présence de l'appelant sur le parking, durant les plages horaires, pour la plupart relativement brèves, pendant lesquelles les vols au préjudice des voitures des plaignants C______, G______, I______, H______ et F______ ont été commis, est attestée par la téléphonie. Les transferts d'argent vers la Roumanie, durant la même période, constituent aussi un élément à charge, l'appelant n'ayant aucune source de revenu licite. Est particulièrement significatif le transfert de CHF 460.- le lendemain du vol dénoncé par la plaignante H______, qui a signalé la disparition de plusieurs centaines de francs. La thèse de la défense selon laquelle l'appelant aurait largement bénéficié de la générosité d'inconnus n'est ni étayée ni crédible ; les montants qu'il affirme avoir obtenus, de manière relativement constante, dépassent largement ce qui est habituel en matière de charité.</w:t>
      </w:r>
    </w:p>
    <w:p>
      <w:r>
        <w:t>- 12/17 - P/14937/2015</w:t>
      </w:r>
    </w:p>
    <w:p>
      <w:r>
        <w:t>Les antécédents récents et très spécifiques de l'appelant sont également significatifs, dans la mesure où ils établissement une pratique bien rodée. Le modus operandi est d'ailleurs toujours le même.</w:t>
      </w:r>
    </w:p>
    <w:p>
      <w:r>
        <w:t>Ces éléments permettent d'asseoir un verdict de culpabilité.</w:t>
      </w:r>
    </w:p>
    <w:p>
      <w:r>
        <w:t>Avec le premier juge, on relèvera que les dénégations de l'appelant, qui n'a eu de cesse de modifier son récit au cours de l'instruction, en particulier sur son emploi du temps après sa sortie de prison, n'emportent pas la conviction. Quant aux allégations selon lesquelles il aurait menti à la police parce qu'il avait été brutalisé, il sera simplement observé que l'appelant n'a pas fait de déclarations lors de son audition par les gendarmes et a réservé ses premières explications pour le Ministère public, en présence de son avocat. La thèse d'un complot policier ne trouve pas non plus d'assise dans le dossier.</w:t>
      </w:r>
    </w:p>
    <w:p>
      <w:r>
        <w:t>Le verdict de culpabilité sera ainsi entièrement confirmé, sauf s'agissant du cas D______. En effet, selon la plainte pénale, ce vol a eu lieu dans la nuit du 3 au 4 août 2015, peu après minuit, et non pas la nuit suivante (du 4 au 5 août 2015), lors de laquelle l'appelant a été observé et interpellé en flagrant délit. Le plaignant a certes pu se tromper d'un jour en remplissant sa plainte (qui est datée du 5 août 2015), mais le dossier ne permet pas de l'établir. Il n'y a pas non plus de donnée rétroactive qui atteste de la présence de l'appelant sur le parking cette nuit-là. Cette occurrence ne fait ainsi pas série avec le cas E______ et l'appelant sera dès lors acquitté, au bénéfice du doute.</w:t>
      </w:r>
    </w:p>
    <w:p>
      <w:r>
        <w:t>2.3.3. Les actes commis sont constitutifs de six vols, dont un sous sa forme tentée, et de six dommages à la propriété. Avec le premier juge, il sera retenu que l'appelant, qui n'a jamais travaillé, s'est adonné, dès sa sortie de prison, à des vols dans des véhicules stationnés sur la voie publique. Il a agi à la manière d'une activité professionnelle générant des revenus réguliers que seule son arrestation a stoppée.</w:t>
      </w:r>
    </w:p>
    <w:p>
      <w:r>
        <w:t>La circonstance aggravante du métier est ainsi réalisée, laquelle absorbe la tentative (ATF 123 IV 113 consid. 2c et 2d). En tant qu'il retient la tentative de vol, en sus du vol par métier, le dispositif du jugement de première instance sera ainsi rectifié.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- 13/17 - P/14937/2015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rPr>
          <w:b/>
        </w:rPr>
        <w:t>E. 3.2</w:t>
      </w:r>
    </w:p>
    <w:p>
      <w:r>
        <w:t>L'appelant ne conteste pas en tant que telle la peine qui lui a été infligée, dont il ne requiert la réduction que dans l'hypothèse d'un acquittement partiel.</w:t>
      </w:r>
    </w:p>
    <w:p>
      <w:r>
        <w:t>L'appréciation du premier juge des éléments pertinents pour la fixation de la peine (faute, antécédents, situation personnelle, prise de conscience, collaboration, etc.) est complète et il y sera renvoyé (cf. art. 82 al. 4 CPP et consid. 3.2 du jugement entrepris).</w:t>
      </w:r>
    </w:p>
    <w:p>
      <w:r>
        <w:t>Compte tenu de l'acquittement prononcé pour l'une des infractions, la peine privative de liberté sera fixée à neuf mois, étant rappelé que lorsque le vol par métier est retenu, comme en l'espèce, l'ensemble des infractions commises représente une unité. Vu la récidive spécifique, c'est à juste titre que le premier juge n'a pas mis l'appelant au bénéfice du sursis, le pronostic étant clairement défavorable, ce qui n'est pas remis en cause.</w:t>
      </w:r>
    </w:p>
    <w:p>
      <w:r>
        <w:rPr>
          <w:b/>
        </w:rPr>
        <w:t>E. 4</w:t>
      </w:r>
    </w:p>
    <w:p>
      <w:r>
        <w:t>L'appelant, qui succombe pour l'essentiel, supportera les 4/5 des frais de la procédure d'appel, qui comprennent dans leur totalité un émolument de CHF 2'500.- (art. 428 CPP).</w:t>
      </w:r>
    </w:p>
    <w:p>
      <w:r>
        <w:rPr>
          <w:b/>
        </w:rPr>
        <w:t>E. 5.1</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- 14/17 - P/14937/2015</w:t>
      </w:r>
    </w:p>
    <w:p>
      <w:r>
        <w:t>Cette dernière disposition prescrit que l'indemnité, en matière pénale, est calculée selon le tarif horaire de CHF 200.- (let. c) pour un chef d'étude, débours de l'étude inclus. En cas d'assujettissement, l'équivalent de la TVA est versé en sus.</w:t>
      </w:r>
    </w:p>
    <w:p>
      <w:r>
        <w:rPr>
          <w:b/>
        </w:rPr>
        <w:t>E. 5.2</w:t>
      </w:r>
    </w:p>
    <w:p>
      <w:r>
        <w:t>En l'occurrence, l'indemnisation requise par le défenseur d'office de l'appelant paraît adéquate, de sorte qu'il n'est pas nécessaire de reprendre le détail des postes qui composent son état de frais. Aussi, l'indemnité requise correspondant à sept heures d'activité de chef d'étude au tarif de CHF 200.-/heure sera allouée (CHF 1'400.-), à laquelle s'ajoutent la durée d'une heure de l'audience d'appel (CHF 200.-), la majoration forfaitaire de 20% (CHF 320.-), l'indemnisation du déplacement à l'audience par CHF 50.- et l'équivalent de la TVA au taux de 8% en CHF 158.-, pour un total de CHF 2'128.-.</w:t>
      </w:r>
    </w:p>
    <w:p>
      <w:r>
        <w:t>* * * * *</w:t>
      </w:r>
    </w:p>
    <w:p>
      <w:r>
        <w:t>- 15/17 - P/14937/2015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