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AARP/286/2025 vom 8. Juli 2025</w:t>
      </w:r>
    </w:p>
    <w:p>
      <w:r>
        <w:t>GE Cour de justice, 2025-07-08, FR</w:t>
      </w:r>
    </w:p>
    <w:p>
      <w:r>
        <w:rPr>
          <w:b/>
        </w:rPr>
        <w:t xml:space="preserve">Quelle: </w:t>
      </w:r>
      <w:r>
        <w:t>https://mcp.opencaselaw.ch/entscheid/ge_gerichte_AARP_286_2025</w:t>
      </w:r>
    </w:p>
    <w:p>
      <w:r>
        <w:t>FR: GE_GERICHTE AARP/286/2025 du 8 juillet 2025</w:t>
      </w:r>
    </w:p>
    <w:p>
      <w:r>
        <w:t>IT: GE_GERICHTE AARP/286/2025 del 8 luglio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118 al. 1 CPP, on entend par partie plaignante le lésé qui déclare expressément vouloir participer à la procédure pénale comme demandeur au pénal ou au civil, alors que le lésé au sens de l'art. 115 al. 1 CPP est toute personne dont les droits ont été touchés directement par une infraction. En règle générale, seul peut se prévaloir d'une atteinte directe le titulaire du bien juridique protégé par la disposition pénale qui a été enfreinte (ATF 143 IV 77 consid. 2.2 ; 141 IV 454 consid. 2.3.1). Pour les actes d'appropriation comme l'appropriation illégitime (art. 137 CP) ou le vol (art. 139 CP), non seulement le propriétaire, mais tout ayant droit privé de l'usage de la chose a qualité pour porter plainte (ATF 118 IV 209 consid. 3.b = JdT 1994 IV 162). Pour être directement touché, le lésé doit en outre subir une atteinte en rapport de causalité directe avec l'infraction</w:t>
      </w:r>
    </w:p>
    <w:p>
      <w:r>
        <w:t>- 36/49 - P/13509/2013 poursuivie, ce qui exclut les personnes subissant un préjudice indirect ou par ricochet (arrêt du Tribunal fédéral 6B_857/2017 du 3 avril 2018 consid. 2.1). 2.1.2. Conformément à l'art. 121 al. 1 CPP, si le lésé décède sans avoir renoncé à ses droits de procédure, ceux-ci passent à ses proches, au sens de l'art. 110 al. 1 CP, dans l'ordre de succession (ATF 146 IV 76 consid. 2.2.1). 2.1.3. L'art. 110 al. 1 CP dresse la liste des proches d'une personne, soit son conjoint, son partenaire enregistré, ses parents en ligne directe, ses frères et sœurs germains, consanguins ou utérins ainsi que ses parents, frères et sœurs et enfants adoptifs. Cette liste est exhaustive et doit faire l'objet d'une interprétation restrictive (ATF 148 IV 256 consid. 3.1 et 3.7 ; 140 IV 162 consid 4.9.2). On se référera aux règles successorales désignant l’ordre de succession des héritiers légaux (art. 457 ss du Code civil suisse [CC]) : les descendants (art. 457 CC), à défaut les pères et mères (art. 458 CC) représentés en cas de prédécès par leurs enfants (à l’exclusion des descendants de ceux-ci), à défaut les grands-parents (art. 459 CC), mais pas leurs descendants (A. KUHN / Y. JEANNERET / C. PERRIER DEPEURSINGE (éds), Commentaire romand : Code de procédure pénale suisse, 2ème éd., Bâle 2019, n. 4 ad art. 121). Si les règles concernant l'ordre de la succession aboutissent à la désignation simultanée de plusieurs proches, par exemple les trois enfants du lésé (art. 457 al. 1 CC), chacun d'eux acquiert pour lui-même les droits procéduraux du lésé et peut en disposer comme il l'entend, sans que cela ait d'incidence sur la situation procédurale des autres proches visés par l'art. 121 al. 1 CPP (A. KUHN / Y. JEANNERET / C. PERRIER DEPEURSINGE (éds), Commentaire romand : Code de procédure pénale suisse, 2ème éd., Bâle 2019, n. 5 ad art. 121). À la différence de la question civile, qui implique que les héritiers agissent tous ensemble, aucune action commune des héritiers n'est nécessaire pour la question pénale. Le proche d'un lésé décédé peut ainsi se constituer seul partie plaignante au pénal (ATF 142 IV 82 consid. 3.3 et 3.4). L'art. 382 al. 3 CPP ne trouve pas application dans un tel cas de figure (ATF 142 IV 82 consid. 2.3).</w:t>
      </w:r>
    </w:p>
    <w:p>
      <w:r>
        <w:rPr>
          <w:b/>
        </w:rPr>
        <w:t>E. 2.2</w:t>
      </w:r>
    </w:p>
    <w:p>
      <w:r>
        <w:t>En l'espèce, le plaignant est décédé le ______ 2022. Par affidavit du 15 décembre 2022, son fils, unique ou non, a déclaré, en qualité d'héritier de la succession de son père, vouloir participer à la procédure et déposer des conclusions civiles (C-635). L'appelant s'est limité à relever, sans autre développement, que le lien de filiation entre C______ et F______ était "insuffisant" et la qualité d'héritier unique du premier cité "non établie" à l'instar de "la liste de ses proches" et l'ordre successoral des héritiers du défunt.</w:t>
      </w:r>
    </w:p>
    <w:p>
      <w:r>
        <w:t>- 37/49 - P/13509/2013 Outre le fait qu'il importe peu que l'intéressé soit héritier unique ou non de son père, ou que d'autres proches au sens des art. 110 al. 1 CP et 121 al. 1 CPP auraient également été habilités à se porter parties plaignantes selon l'ordre de succession, il est indéniable que les descendants directs d'un de cujus sont ses héritiers légaux les plus proches (art. 457 al. 1 CC), le cas échéant en concours avec le conjoint survivant (art. 462 ch. 1 CC). Au vu de l'acte produit, dont ni la teneur ni l'authenticité ne sont mises en doute par l'appelant, et dont aucun élément du dossier ne permet de mettre en cause la validité, il n'y pas lieu d'écarter la constitution de partie plaignante du fils du plaignant défunt, au pénal.</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t>- 38/49 - P/13509/2013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w:t>
      </w:r>
    </w:p>
    <w:p>
      <w:r>
        <w:rPr>
          <w:b/>
        </w:rPr>
        <w:t>E. 3.2</w:t>
      </w:r>
    </w:p>
    <w:p>
      <w:r>
        <w:t>Commet un abus de confiance au sens de l'art. 138 ch. 1 al. 1 CP, quiconque, pour se procurer ou procurer à un tiers un enrichissement illégitime, s'approprie une chose mobilière appartenant à autrui et qui lui a été confiée.</w:t>
      </w:r>
    </w:p>
    <w:p>
      <w:r>
        <w:rPr>
          <w:b/>
        </w:rPr>
        <w:t>E. 3.3</w:t>
      </w:r>
    </w:p>
    <w:p>
      <w:r>
        <w:t>L'infraction suppose l'existence d'une chose mobilière, appartenant à autrui selon les règles de droit civil. Une autre personne que l'auteur doit avoir un droit de propriété sur la chose, même si ce droit n'est pas exclusif (arrêt du Tribunal fédéral 6B_1396/2021 du 28 juin 2022 consid. 2.1). Sont déterminants les rapports de propriété tels qu'ils résultent du contrat conclu par les parties (ATF 118 II 150 consid. 6c ; arrêt du Tribunal fédéral 6B_586/2010 du 23 novembre 2010 consid. 4.3.1). La notion d’appartenance à autrui renvoie au droit de propriété tel que défini par le droit civil (ATF 132 IV 5 consid. 3.3). L'art. 138 ch. 1 al. 1 CP ne peut porter sur une chose qui appartient déjà à l’auteur, sous réserve du délit impossible (ATF 106 IV 254 consid. 4 = JdT 1981 IV 101). La chose doit appartenir à autrui au moment de son transfert à l’auteur (A. MACALUSO / L. MOREILLON / N. QUELOZ [éds], op. cit., n. 24 et 25 ad art. 137). La notion d'appartenance à autrui est indissociable de celle de possession (Gewahrsam, possesso), inspirée du droit germanique, qui doit s'entendre en droit pénal comme un pouvoir de fait sur une chose mobilière, lié à la volonté d'exercer ce pouvoir (ATF 71 IV 91 ; 71 IV 185 = JdT 1946 IV 40 ; 110 IV 84 ; 115 IV 106 = JdT 1990 IV 140). Il suffit que le possesseur ait la maîtrise effective de la chose (tatsächliche Sachherrschaft), savoir qu'il ait le pouvoir d'en disposer (Herrschaftsmöglichkeit) et la volonté d'exercer ce pouvoir (Herrschaftswille), indépendamment de tout droit sur ce bien. La possession doit ainsi être comprise au regard de la sphère d'influence qu'une personne a sur une chose mobilière, l'art. 137 CP ayant notamment pour but de résoudre les cas où la possession d'une chose est relâchée. La possession se rapporte à une maîtrise "économique" en ce sens que le possesseur est moins celui qui détient</w:t>
      </w:r>
    </w:p>
    <w:p>
      <w:r>
        <w:t>- 39/49 - P/13509/2013 matériellement la chose que celui qui en tire des avantages, un profit. Sous cet angle la notion de possesseur selon les dispositions du code pénal sur les infractions contre le patrimoine est proche de celle de détenteur (Halter) en matière de circulation routière soit "celui qui possède effectivement et durablement le pouvoir de disposer du véhicule et qui l'utilise ou le fait utiliser à ses frais ou dans son propre intérêt". La notion pénale de possession est plus restreinte que celle de l'art. 919 CC (Besitz) dans la mesure où la notion civile peut porter non seulement sur des choses mobilières, mais aussi sur des choses immobilières et des forces naturelles (A. MACALUSO / L. MOREILLON / N. QUELOZ [éds], Commentaire romand : Code pénal II, art. 111-392 CP, Bâle 2017, n. 24 et 25 ad art. 137).</w:t>
      </w:r>
    </w:p>
    <w:p>
      <w:r>
        <w:rPr>
          <w:b/>
        </w:rPr>
        <w:t>E. 3.4</w:t>
      </w:r>
    </w:p>
    <w:p>
      <w:r>
        <w:t>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w:t>
      </w:r>
    </w:p>
    <w:p>
      <w:r>
        <w:rPr>
          <w:b/>
        </w:rPr>
        <w:t>E. 3.5</w:t>
      </w:r>
    </w:p>
    <w:p>
      <w:r>
        <w:t>En l'espèce, la Cour considère comme établis les éléments suivants :</w:t>
      </w:r>
    </w:p>
    <w:p>
      <w:r>
        <w:rPr>
          <w:b/>
        </w:rPr>
        <w:t>E. 3.5.1</w:t>
      </w:r>
    </w:p>
    <w:p>
      <w:r>
        <w:t>En 2004, F______ a acquis de W______ [bijouterie/joaillerie] au H______ [GE], un diamant poli de 50.66 carats (ci-après "le diamant"). Une facture pro forma pour le montant de USD 1'600'000.- a été établie le 18 février 2005 et le diamant lui a été remis le 1er mars 2005. F______ est décédé le ______ 2022. Par affidavit du 15 décembre, son fils, C______, en sa qualité d’héritier de la succession de son père, a déclaré vouloir participer à la procédure pénale et déposer des conclusions civiles. À l’appui de sa requête, il a produit un certificat de naissance attestant qu’il est le fils de feu F______, un certificat notarié établi à</w:t>
      </w:r>
    </w:p>
    <w:p>
      <w:r>
        <w:t>- 40/49 - P/13509/2013 AZ______ [Afrique du Sud] attestant du décès de son père, F______, ainsi qu’un affidavit, également notarié, attestant qu’il en est héritier.</w:t>
      </w:r>
    </w:p>
    <w:p>
      <w:r>
        <w:rPr>
          <w:b/>
        </w:rPr>
        <w:t>E. 3.5.2</w:t>
      </w:r>
    </w:p>
    <w:p>
      <w:r>
        <w:t>Le 6 février 2007, un contrat de dépôt dactylographié portant sur le diamant, dont la valeur déclarée était de USD 15'000'000.-, a été conclu entre feu F______, propriétaire du diamant, et E______ SA, dépositaire, soit pour elle un certain "BI______" [prénom] non identifié à ce jour. Le 8 février 2007, après examen du diamant dont la valeur déclarée était désormais mentionnée comme étant de USD 20'000'000.-, un contrat de dépôt similaire a été conclu entre feu F______, déposant et propriétaire du diamant, et E______ SA, dépositaire, soit pour elle A______. Contrairement à l’usage, aucune décharge ne figurait sur ces contrats qui portaient, en outre et étonnamment, le même numéro de scellé. Ces deux contrats de dépôt initiaux ne sont pas déterminants pour l’appréciation du dossier.</w:t>
      </w:r>
    </w:p>
    <w:p>
      <w:r>
        <w:rPr>
          <w:b/>
        </w:rPr>
        <w:t>E. 3.5.3</w:t>
      </w:r>
    </w:p>
    <w:p>
      <w:r>
        <w:t>Le 8 août 2007, un contrat de dépôt portant sur le même diamant a été signé entre S______/U______ CC (société en liquidation depuis 2006, qui appartenait à feu F______ avec laquelle il était en litige), déposante, et E______ SA, dépositaire, soit pour elle A______. S______/U______ CC était mentionnée comme propriétaire du diamant dont la valeur déclarée était de USD 20 millions. Feu F______ a contesté, de manière crédible, avoir consenti et signé tant le transfert de qualité du déposant, soit S______/U______ CC en lieu et place de lui-même, que la décharge dont la date était au demeurant illisible.</w:t>
      </w:r>
    </w:p>
    <w:p>
      <w:r>
        <w:rPr>
          <w:b/>
        </w:rPr>
        <w:t>E. 3.5.4</w:t>
      </w:r>
    </w:p>
    <w:p>
      <w:r>
        <w:t>Le 16 août 2007, feu F______ a signé avec E______ SA, soit pour elle A______, un nouveau contrat de dépôt pour le diamant, d’une valeur déclarée de USD 20 millions. Feu F______ était mentionné comme propriétaire du diamant et unique personne de contact s’agissant du dépôt. Le contrat mentionnait notamment (art. 6) que E______ SA ne pouvait délivrer le diamant qu’au déposant, en l’occurrence feu F______, ou à la personne désignée par ce dernier sur instructions écrites complètes. La Cour considère que ce contrat est authentique et définit les droits et obligations convenus entre feu le plaignant F______ et le prévenu A______ pour E______ SA.</w:t>
      </w:r>
    </w:p>
    <w:p>
      <w:r>
        <w:rPr>
          <w:b/>
        </w:rPr>
        <w:t>E. 3.5.5</w:t>
      </w:r>
    </w:p>
    <w:p>
      <w:r>
        <w:t>Le 29 avril 2008, feu F______ était venu examiner le diamant en compagnie de G______, avec lequel, à la demande de son père, BA______, qu’il avait connu dans</w:t>
      </w:r>
    </w:p>
    <w:p>
      <w:r>
        <w:t>- 41/49 - P/13509/2013 les années 90, il envisageait un partenariat pour vendre le diamant. G______ avait, à cette occasion, payé les arriérés des frais d'entreposage à hauteur de CHF 10’000.-. Après avoir examiné le diamant, G______ a convenu avec feu F______, sur la base d’un contrat oral, usuel entre diamantaires, qu’il lui prêterait un montant de quelque USD 4'000'000.-, contrat de prêt qu’il n’a par la suite honoré que très partiellement. Le prêt devait être remboursé une fois le diamant vendu. Aucune garantie n’a été convenue. Aucun élément matériel probant du dossier ne laisse supposer que le diamant aurait été régulièrement nanti ou cédé d’une quelconque manière par feu F______ à la libre disposition de G______. Craignant toutefois que G______ ne tente de s'approprier le diamant, feu F______ avait, à plusieurs reprises, par l'intermédiaire de ses conseils, demandé à A______ de confirmer que E______ SA détenait toujours en dépôt, pour son compte, le diamant dont il était propriétaire, ce que A______ lui confirma personnellement notamment par courriels des 19 juillet 2009 et 22 janvier 2013. Les 28 et 29 avril 2008, un nouveau contrat de dépôt, partiellement rempli à la main, paraît avoir été conclu entre G______ et E______ SA, soit pour elle A______, portant sur le diamant dont la valeur était estimée à USD 25 millions. La clause relative à la décharge n'était ni remplie ni signée. G______, mentionné comme propriétaire du diamant, a signé ce contrat le 28 avril 2008, A______ le 29 avril 2008. Feu F______ affirme, de manière crédible, n’avoir jamais eu connaissance de ce contrat de dépôt et être en tout temps demeuré propriétaire du diamant. Au vu des explications incohérentes et dénuées de crédibilité des deux signataires de ce nouveau contrat de dépôt, la Cour considère qu’il s’agit, au mieux, d’un montage destiné à couvrir la remise indue du diamant par le prévenu à G______, au détriment de feu F______.</w:t>
      </w:r>
    </w:p>
    <w:p>
      <w:r>
        <w:rPr>
          <w:b/>
        </w:rPr>
        <w:t>E. 3.5.6</w:t>
      </w:r>
    </w:p>
    <w:p>
      <w:r>
        <w:t>La validité du contrat du 28-29 avril 2008 interpelle. Premièrement, il y est indiqué que G______ est propriétaire du diamant alors qu'à le suivre ainsi que A______ et le "Certificate of Transfer of Ownership" du 27 mars 2009, il ne deviendra propriétaire de cette pierre qu'à la date du 27 mars 2009. Quant à sa forme, le contrat du 28-29 avril 2008 est le seul à avoir la forme manuscrite et ne comporte pas de code- barre, contrairement aux autres "storage agreement". Enfin, feu F______ a persisté à se comporter comme le réel propriétaire du diamant et toutes les parties concernées l'ont traité comme tel jusqu'en 2010. La copie d'un document du 27 mars 2009 intitulé "Certificate of Transfer of Ownership", qui aurait été signé entre O______ (PTY) LTD, société propriété de G______, et feu F______ a été transmis au MP par E______ SA le 30 septembre 2013.</w:t>
      </w:r>
    </w:p>
    <w:p>
      <w:r>
        <w:t>- 42/49 - P/13509/2013 Aux termes de ce certificat, feu F______ reconnaît avoir remis le diamant en gage, alors déposé auprès de E______ SA, à la société O______ LTD, qui aurait elle-même cédé ses droits à la société Q______/R______ LTD, dont on ignore tout si ce n’est qu’elle est enregistrée à l’Ile Maurice. Il est mentionné dans ce certificat que feu F______ aurait transféré inconditionnellement et irrévocablement tous ses droits sur le diamant en remboursement de dettes qu’il n’avait pas été en mesure d’honorer. Feu F______ conteste avoir signé un tel document, dont les divers éléments matériels sont inconsistants, tels que décrits ci-dessus.</w:t>
      </w:r>
    </w:p>
    <w:p>
      <w:r>
        <w:rPr>
          <w:b/>
        </w:rPr>
        <w:t>E. 3.5.7</w:t>
      </w:r>
    </w:p>
    <w:p>
      <w:r>
        <w:t>En juillet 2009, puis en mars 2010, il s’avère que A______ avait autorisé, de sa propre initiative, sans l’aval de feu F______, la remise du diamant à G______. Par deux courriers d'avocat, des 16 juillet 2009 et 16 mars 2010, feu F______ a formellement rappelé à E______ SA qu’il ne pouvait être disposé du diamant sans son aval. Le diamant a ainsi été dûment restitué au dépôt de E______ SA. Fin août 2013, feu F______ a demandé à examiner le diamant. A______ lui a alors indiqué que le diamant n’était plus en dépôt à Genève mais avait été remis à G______, à Dubaï. Cette remise semble avoir été effectuée via la société M______ SA, pour laquelle A______ disposait d’une signature individuelle jusqu’au 2 avril 2013. Le 2 septembre 2013, par courrier de son conseil, feu F______ a mis en demeure E______ SA de lui restituer le diamant au 6 septembre 2013. En vain. Le diamant n’a pu être localisé à ce jour. Il découle des éléments qui précèdent que A______ s’est approprié indument le diamant confié en dépôt à E______ SA, dont il était administrateur-directeur avec signature individuelle, en violation de ses obligations de dépositaire et des instructions claires et répétées du déposant, ce aux fins de procurer un enrichissement illégitime à G______, causant de la sorte à feu F______ un dommage correspondant à la valeur du diamant.</w:t>
      </w:r>
    </w:p>
    <w:p>
      <w:r>
        <w:rPr>
          <w:b/>
        </w:rPr>
        <w:t>E. 3.5.8</w:t>
      </w:r>
    </w:p>
    <w:p>
      <w:r>
        <w:t>A______, en pleine conscience, a agi dans un but d'enrichissement illégitime au profit d'un tiers, sans avoir la possibilité ni la volonté de restituer le diamant au déposant, son légitime propriétaire, en l’occurrence feu F______.</w:t>
      </w:r>
    </w:p>
    <w:p>
      <w:r>
        <w:rPr>
          <w:b/>
        </w:rPr>
        <w:t>E. 3.5.9</w:t>
      </w:r>
    </w:p>
    <w:p>
      <w:r>
        <w:t>Au regard de ce qui précède, A______ sera reconnu coupable d’abus de confiance portant sur une chose mobilière (art. 138 ch. 1 al. 1 CP).</w:t>
      </w:r>
    </w:p>
    <w:p>
      <w:r>
        <w:t>- 43/49 - P/13509/2013</w:t>
      </w:r>
    </w:p>
    <w:p>
      <w:r>
        <w:rPr>
          <w:b/>
        </w:rPr>
        <w:t>E. 4.1</w:t>
      </w:r>
    </w:p>
    <w:p>
      <w:r>
        <w:t>L'abus de confiance au sens de l'art. 138 ch. 1 CP est sanctionné d'une peine privative de liberté de cinq ans au plus ou d'une peine pécuniaire.</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w:t>
      </w:r>
    </w:p>
    <w:p>
      <w:r>
        <w:t>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rPr>
          <w:b/>
        </w:rPr>
        <w:t>E. 4.3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w:t>
      </w:r>
    </w:p>
    <w:p>
      <w:r>
        <w:t>- 44/49 - P/13509/2013 quant au comportement futur de l'auteur. En l'absence de pronostic défavorable, il doit prononcer le sursis. Celui-ci est ainsi la règle dont le juge ne peut s'écarter qu'en présence d'un pronostic défavorable ou hautement incertain. Il prime en cas d'incertitude (ATF 135 IV 180 consid. 2.1 ; 134 IV 1 consid. 4.2.2; arrêt du Tribunal fédéral 6B_1339/2016 du 23 mars 2017 consid. 1.1.1).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w:t>
      </w:r>
    </w:p>
    <w:p>
      <w:r>
        <w:rPr>
          <w:b/>
        </w:rPr>
        <w:t>E. 4.5</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p. 137).</w:t>
      </w:r>
    </w:p>
    <w:p>
      <w:r>
        <w:t>- 45/49 - P/13509/2013</w:t>
      </w:r>
    </w:p>
    <w:p>
      <w:r>
        <w:rPr>
          <w:b/>
        </w:rPr>
        <w:t>E. 5.1</w:t>
      </w:r>
    </w:p>
    <w:p>
      <w:r>
        <w:t>La faute du prévenu est importante. Il a trahi la confiance d'un déposant de longue date, lui assurant que son diamant, d'une très grande valeur, était toujours en sa possession, alors qu'il en avait disposé, à une date inconnue, pour permettre à un tiers de s'enrichir indûment. Ses mobiles sont égoïstes et demeurent opaques à ce jour, dans la mesure où il a toujours refusé de collaborer. Sa situation personnelle n'explique ni ne justifie ses actes, l'appelant étant dans une très bonne situation économique avant de disposer du diamant en question. Sa collaboration a été globalement mauvaise et il a fourni des explications fantaisistes pour tenter de se disculper. Ses dénégations, tout comme son absence de repentir, dénotent d'une absence de prise de conscience de l'illicéité de son comportement. Il n'a pas d'antécédent, facteur neutre sur la peine. Son pronostic n'est pas défavorable notamment au vu de son absence d'antécédent. Cependant, sa culpabilité n'est pas anodine, alors qu'il ne pouvait ignorer que son comportement était illicite. Les conditions de l'art. 52 CP ne sont dès lors pas réalisées, de sorte qu'une exemption de peine sur cette base n'entre pas en considération.</w:t>
      </w:r>
    </w:p>
    <w:p>
      <w:r>
        <w:rPr>
          <w:b/>
        </w:rPr>
        <w:t>E. 5.2</w:t>
      </w:r>
    </w:p>
    <w:p>
      <w:r>
        <w:t>La fixation d'une peine privative de liberté se justifie. L'appelant ne remet pas en question, au-delà de l'acquittement et de l'exemption de peine requise, la durée de la peine privative de liberté, étant relevé que le sursis prononcé lui est acquis (art. 391 al. 2 CPP). Une peine privative de liberté de quinze mois sanctionne adéquatement un abus de confiance commis sur un diamant d'une valeur d'à tout le moins USD 20'000'000.-, alors que l'appelant en était le dépositaire depuis des années et certifiait à son propriétaire que l'objet était toujours présent dans les locaux, ce qui, à un moment indéterminé, n'a plus été le cas. La durée du délai d'épreuve de trois ans est par ailleurs appropriée aux circonstances. Il n'apparaît en effet pas justifié de réduire ce délai au minimum légal, au vu de l'absence de prise de conscience de l'appelant.</w:t>
      </w:r>
    </w:p>
    <w:p>
      <w:r>
        <w:rPr>
          <w:b/>
        </w:rPr>
        <w:t>E. 5.3</w:t>
      </w:r>
    </w:p>
    <w:p>
      <w:r>
        <w:t>Quant au grief de violation du principe de célérité invoqué par l'appelant, il doit être écarté. En effet, il a déjà été constaté par le juge de première instance, qui en a tenu compte dans la fixation de la peine, précisant "vu la période d'inaction du MP notamment entre le 16 août 2018 et le 2 octobre 2019, entre le 2 octobre 2019 et l'avis de prochaine clôture du 12 décembre 2022, puis le temps écoulé entre la notification de l'acte d'accusation du 12 janvier 2023 et l'audience de jugement du 24 mai 2024"</w:t>
      </w:r>
    </w:p>
    <w:p>
      <w:r>
        <w:t>- 46/49 - P/13509/2013 (JTDP/664/2024 du 30 mai 2024, p. 56). En outre, le temps écoulé entre le jugement précité et la reddition du présent arrêt, d'une période de 13 mois, ne saurait justifier une nouvelle violation du principe de célérité.</w:t>
      </w:r>
    </w:p>
    <w:p>
      <w:r>
        <w:rPr>
          <w:b/>
        </w:rPr>
        <w:t>E. 6.1</w:t>
      </w:r>
    </w:p>
    <w:p>
      <w:r>
        <w:t>L'appelant, qui succombe, supportera les frais de la procédure envers l'État (art. 428 CPP), lesquels comprennent un émolument de décision de CHF 1'500.-.</w:t>
      </w:r>
    </w:p>
    <w:p>
      <w:r>
        <w:rPr>
          <w:b/>
        </w:rPr>
        <w:t>E. 6.2</w:t>
      </w:r>
    </w:p>
    <w:p>
      <w:r>
        <w:t>Vu l'issue de l'appel, la répartition des frais de la procédure préliminaire et de première instance ne sera pas revue (art. 428 al. 3 CPP).</w:t>
      </w:r>
    </w:p>
    <w:p>
      <w:r>
        <w:rPr>
          <w:b/>
        </w:rPr>
        <w:t>E. 7</w:t>
      </w:r>
    </w:p>
    <w:p>
      <w:r>
        <w:t>Par identité de motifs, l'appelant sera débouté de ses conclusions en indemnisation (art. 429 al. 1 CPP).</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La partie plaignante obtient gain de cause au sens de l'art. 433 al. 1 CPP lorsque le prévenu est condamné et/ou si les prétentions civiles sont admises (M. NIGGLI / M. HEER / H. WIPRÄCHTIGER [éds], Schweizeriche Strafprozessordung / Schwizeriche Jugendstrafprozessordnung, Basler Kommentar StPO/JStPO, 2è éd., Bâle, 2014, n. 10 ad art. 433 ; N. SCHMID, Schweizerische Strafprozessordnung : Praxiskommentar, 2ème éd., Zurich 2013, n.6 ad art. 433).</w:t>
      </w:r>
    </w:p>
    <w:p>
      <w:r>
        <w:rPr>
          <w:b/>
        </w:rPr>
        <w:t>E. 8.2</w:t>
      </w:r>
    </w:p>
    <w:p>
      <w:r>
        <w:t>En l'occurrence, la partie plaignante ne supportant aucun frais et ayant obtenu gain de cause, elle a droit à une juste indemnité, étant précisé qu'elle ne l'a pas chiffrée. Son conseil n'ayant pas présenté de décompte de son activité, il sera statué ex aequo et bono sur la base des actes de procédures effectifs pour la procédure d'appel. Pour la procédure devant la CPAR, l'activité de rédaction de l'annonce, de la déclaration et du mémoire d'appel sera indemnisée à hauteur de douze heures, au vu de la complexité du dossier et des questions juridiques soulevées. En conclusion, l'indemnité due à la partie plaignante par le prévenu sera arrêtée à douze heures d'activité au tarif de CHF 400 / heure (CHF 4'800.-) et l'équivalent de la TVA au taux de 8.1% en CHF 388.80. * * * * *</w:t>
      </w:r>
    </w:p>
    <w:p>
      <w:r>
        <w:t>- 47/49 - P/13509/2013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