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AARP/286/2024 vom 16. August 2024</w:t>
      </w:r>
    </w:p>
    <w:p>
      <w:r>
        <w:t>GE Cour de justice, 2024-08-16, FR</w:t>
      </w:r>
    </w:p>
    <w:p>
      <w:r>
        <w:rPr>
          <w:b/>
        </w:rPr>
        <w:t xml:space="preserve">Quelle: </w:t>
      </w:r>
      <w:r>
        <w:t>https://mcp.opencaselaw.ch/entscheid/ge_gerichte_AARP_286_2024</w:t>
      </w:r>
    </w:p>
    <w:p>
      <w:r>
        <w:t>FR: GE_GERICHTE AARP/286/2024 du 16 août 2024</w:t>
      </w:r>
    </w:p>
    <w:p>
      <w:r>
        <w:t>IT: GE_GERICHTE AARP/286/2024 del 16 agosto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w:t>
      </w:r>
    </w:p>
    <w:p>
      <w:r>
        <w:t>- 7/16 - P/23497/2022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w:t>
      </w:r>
    </w:p>
    <w:p>
      <w:r>
        <w:rPr>
          <w:b/>
        </w:rPr>
        <w:t>E. 3</w:t>
      </w:r>
    </w:p>
    <w:p>
      <w:r>
        <w:t>3.1.1. L'art. 139 ch. 1 CP réprime le comportement de quiconque, pour se procurer ou procurer à un tiers un enrichissement illégitime, soustrait une chose mobilière appartenant à autrui dans le but de se l'approprier. 3.1.2.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 ; 125 IV 134 consid. 3a ; ATF 135 IV 152 consid. 2.3.1 ; SJ 2008 I 373 consid. 7.3.4.5 p. 382-383). La jurisprudence exige même que le coauteur ait une certaine maîtrise des opérations et que son rôle soit plus ou moins indispensable (ATF 120 IV 17 consid. 2d ; 136 consid. 2b ; 265 consid. 2c/aa ; 118 IV 397 consid. 2b). Ce concept de coactivité montre qu'une personne peut être considérée comme auteur d'une infraction, même si elle n'en est pas l'auteur direct, c'est-à-dire si elle n'a pas accompli elle-même tous les actes décrits dans la disposition pénale (ATF 120 IV 17 consid. 2d). 3.2.1. En l'espèce, il est établi et admis que G______ a dérobé des coffrets de parfum dans la pharmacie D______ le 1er novembre 2022, alors que l'appelant demandait conseil à la vendeuse et discutait avec celle-ci dans un rayon. Reste à établir si, comme l'a retenu le TP, l'appelant avait connaissance de l'intention de son ami de commettre un vol et a pris part à ce méfait en qualité de coauteur.</w:t>
      </w:r>
    </w:p>
    <w:p>
      <w:r>
        <w:t>- 8/16 - P/23497/2022 Tout d'abord, il sera relevé que K______ n'était pas présente lors des faits et qu'elle n'en a eu connaissance que par le visionnage des images de vidéosurveillance, lesquelles figurent au dossier. Il ne s'agit donc pas d'un témoignage direct et l'interprétation des images par le témoin, qui a déclaré être persuadé que l'appelant a participé au vol, n'a aucune influence sur l'appréciation que peut s'en faire la Cour. À ce sujet, il peut être regretté que les images n'aient pas été extraites dans leur intégralité et/ou que la vendeuse effectivement présente le jour des faits n'ait pas été entendue ; ces éléments ne sont cependant pas indispensables à la solution du cas. En effet, contrairement à ce que prétend l'appelant, on ne saurait qualifier sa version de faits de parfaitement crédible. Il s'est contredit sur les raisons de sa présence dans la pharmacie et sur les conseils sollicités. Ses explications sont également contredites par l'affirmation de K______ selon laquelle aucun parfum n'était vendu avec une réduction de 50%. Il a également prétendu avoir renoncé à demander à la vendeuse une "crème pour des boutons" car il ne parlait pas français, tout en expliquant avoir demandé conseil à cette même vendeuse pour un parfum, avec indication de son budget. Celui qu'il a évoqué pour un cadeau à son amie semble d'ailleurs disproportionné pour une personne sans moyen de subsistance. Il peut encore être rappelé que l'appelant a déclaré vivre grâce à la vente de ce qu'il trouvait et qu'il a été condamné pour plusieurs vols quelques mois avant les faits, compte non tenu de l'aimant retrouvé sur lui et pouvant servir à démagnétiser des antivols. Quant aux déclarations de son comparse le mettant hors de cause, elles ne peuvent être suivies puisque celui-ci ne pouvant nier l'évidence du vol face aux images de vidéosurveillance, il ne lui restait qu'à dédouaner son ami. Sa version est également contredite par les images de vidéosurveillance. Il en ressort que l'appelant est entré dans la pharmacie et s'est directement dirigé, seul, auprès de la vendeuse pour lui demander quelque chose. Il n'apparaît pas qu'il aurait d'abord fait un tour des rayons pour trouver ce qu'il cherchait, contrairement à ce qu'il a déclaré. Les deux comparses sont entrés, puis sortis, séparément de la pharmacie, donnant l'apparence de ne pas être ensemble à la vendeuse ou aux caméras de surveillance, alors qu'il est admis qu'ils s'étaient rendus ensemble dans le centre commercial, où ils ont fait des achats et bu un café. L'enchaînement des faits démontre également que ce n'est que lorsque la vendeuse était occupée plus loin avec l'appelant que son comparse s'est approché du présentoir des parfums, puis, aussitôt que celui-ci a quitté la pharmacie après son méfait, l'appelant s'est désintéressé de la vendeuse et a consulté son téléphone portable. Ces éléments concrétisent le fait qu'il y avait bien une stratégie mise en place pour commettre ce vol, avec un rôle assigné à chacun, fût-ce par acte concluant. Le rôle de l'appelant était clairement celui de distraire la vendeuse le temps que son comparse puisse se saisir des objets convoités. Cette participation excède le seuil de la complicité, outre que cette forme de participation accessoire n'a pas été plaidée. En effet, la répartition des tâches n'a pas uniquement favorisé l'infraction mais a permis</w:t>
      </w:r>
    </w:p>
    <w:p>
      <w:r>
        <w:t>- 9/16 - P/23497/2022 à G______ de dérober, tranquillement, plusieurs parfums. S'il n'a pas pu être établi que A______ ait participé au butin, il ne s'agit pas là d'une condition indispensable pour retenir la coactivité. Au sujet du butin, le TP a retenu dans sa partie en fait que, selon les images vidéos, G______ avait dérobé "à tout le moins trois" coffrets (jugement querellé consid. B.c), nombre que l'intéressé avait admis à la police, avant de retenir, sans autre explication, quatre coffrets volés. Cette question peut néanmoins demeurer ouverte dans la mesure où, même si seuls trois parfums avaient été dérobés, leur valeur totale dépassait les CHF 300.-, ce qui exclut de retenir une infraction d'importance mineure au sens de l'art. 172ter al. 1 CP. Par ailleurs, même si les quatre parfums déclarés volés lors du dépôt de la plainte ne correspondent pas exactement aux parfums listés par la partie plaignante dans son courrier à la CPAR du 12 juin 2024, la valeur totale de la marchandise est toujours restée identique, de sorte qu'il n'y a pas lieu de douter des déclarations de la partie plaignante à ce sujet. Il doit ainsi être retenu que l'appelant a bien commis un vol, en coactivité avec G______, au préjudice de la pharmacie D______, portant sur quatre coffrets de parfum d'une valeur totale de CHF 487.-. 3.2.2. Par conséquent, la culpabilité de l'appelant du chef de vol au sens de l'art. 139 ch. 1 CP sera confirmée.</w:t>
      </w:r>
    </w:p>
    <w:p>
      <w:r>
        <w:rPr>
          <w:b/>
        </w:rPr>
        <w:t>E. 4</w:t>
      </w:r>
    </w:p>
    <w:p>
      <w:r>
        <w:t>4.1.1. Le vol (art. 139 ch. 1 CP) est passible d'une peine privative de liberté de cinq ans au plus ou d'une peine pécuniaire et la rupture de ban (art. 291 al. 1 CP) d'une peine privative de liberté de trois ans au plus ou d'une peine pécuniaire.</w:t>
      </w:r>
    </w:p>
    <w:p>
      <w:r>
        <w:t>4.1.2.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w:t>
      </w:r>
    </w:p>
    <w:p>
      <w:r>
        <w:t>- 10/16 - P/23497/2022 peine, de même que le comportement après l'acte et au cours de la procédure pénale (ATF 141 IV 61 consid. 6.1.1 ; 136 IV 55 consid. 5 et 134 IV 17 consid. 2.1). 4.1.3.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Petit commentaire du Code pénal, 2ème éd., 2017, n. 3 ad art. 41). 4.1.4.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Une peine d'ensemble en application du principe de l'aggravation suppose, à la différence de l'absorption et du cumul des peines, que le tribunal ait fixé (au moins de manière théorique) les peines (hypothétiques) de tous les délits (ATF 144 IV 217 consid. 3.5.3). 4.2.1. La faute de l'appelant est d'une gravité moyenne. Il s'en est pris au patrimoine d'autrui, par appât du gain facile, et a manifesté son mépris des décisions de justice, par confort personnel, revenant en Suisse. La période pénale en lien avec la rupture de ban est de cinq mois, alors que le retour sur le territoire national s'est effectué une semaine seulement après l'exécution de l'expulsion.</w:t>
      </w:r>
    </w:p>
    <w:p>
      <w:r>
        <w:t>- 11/16 - P/23497/2022 S'il a admis la rupture de ban, difficilement contestable, l'appelant a persisté à nier les faits de vol en fournissant des explications contradictoires. Il n'a manifesté aucun regret, ni montré la moindre inclination à quitter le territoire, semblant résolu à demeurer en Suisse dans l'indifférence de la mesure d'expulsion à son endroit. Il a deux antécédents récents et spécifiques. Sa situation personnelle n'explique pas ses agissements, puisqu'il indique avoir été mis au bénéfice d'une autorisation provisoire qui lui permettait de demeurer en Allemagne à l'époque des faits. Dès lors, il convient de retenir, à l'instar du premier juge, qu'au vu de ses antécédents, de son défaut de prise de conscience et de l'absence de statut et d'activité professionnelle légaux en Suisse, le prononcé d'une peine pécuniaire est exclu. Il y a concours d'infractions. L'infraction abstraitement la plus grave est celle de vol, justifiant une peine privative de liberté de 90 jours, qu'il convient d'augmenter de 60 jours (peine hypothétique : 90 jours) pour la rupture de ban. Une peine d'ensemble de 150 jours est ainsi justifiée et adéquate. La peine prononcée en première instance sera ainsi confirmée, sous déduction de la détention avant jugement (art. 51 CP). Vu la récidive et l'absence de circonstances particulièrement favorables, l'octroi du sursis est exclu (art. 42 al. 2 CP), ce qui n'est d'ailleurs pas plaidé par l'appelant. 4.2.2. L'appel sera ainsi intégralement rejeté et le jugement entrepris confirmé.</w:t>
      </w:r>
    </w:p>
    <w:p>
      <w:r>
        <w:rPr>
          <w:b/>
        </w:rPr>
        <w:t>E. 5.1</w:t>
      </w:r>
    </w:p>
    <w:p>
      <w:r>
        <w:t>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 elle doit les chiffrer au plus tard durant les plaidoiries (art. 123 al. 2 CPP) des débats de première instance, compte tenu de la règle énoncée à l'art. 122 al. 4 CPP (arrêt du Tribunal fédéral 6B_193/2014 du 21 juillet 2014 consid. 2.3 = SJ 2015 I p. 293 ; AARP/399/2017 du 13 décembre 2017 consid. 1.3).</w:t>
      </w:r>
    </w:p>
    <w:p>
      <w:r>
        <w:rPr>
          <w:b/>
        </w:rPr>
        <w:t>E. 5.2</w:t>
      </w:r>
    </w:p>
    <w:p>
      <w:r>
        <w:t>En l'espèce, la partie plaignante a fait valoir ses conclusions civiles chiffrées dès sa constitution en novembre 2022. La partie plaignante a été renvoyée à agir par la voie civile par l'ordonnance pénale du 16 novembre 2022, comme le prescrivait l'art. 353 al. 2 aCPP en vigueur à cette date. Cette ordonnance pénale ayant été frappée d'opposition, il appartenait donc au TP de se prononcer sur les conclusions civiles en vertu de l'art. 126 al. 1 let. a CPP, ce que celui-ci a omis.</w:t>
      </w:r>
    </w:p>
    <w:p>
      <w:r>
        <w:t>- 12/16 - P/23497/2022 Cela étant, dans la mesure où la partie plaignante n'a pas déclaré d'appel ou d'appel joint à l'encontre du jugement du TP, le prévenu, seul appelant, ne pourra pas être condamné à lui verser un dédommagement, sauf à violer l'interdiction de la reformatio in pejus (art. 391 al. 2 CPP), de sorte que ces conclusions seront jugées irrecevables. Il en va de même des conclusions civiles amplifiées en appel en lien avec CHF 150.- de frais administratifs. La partie plaignante ne les ayant pas fait valoir lors de la procédure préliminaire ni devant le TP, elle était forclose à s'en prévaloir en appel.</w:t>
      </w:r>
    </w:p>
    <w:p>
      <w:r>
        <w:rPr>
          <w:b/>
        </w:rPr>
        <w:t>E. 6</w:t>
      </w:r>
    </w:p>
    <w:p>
      <w:r>
        <w:t>L'appelant, qui succombe, supportera les frais de la procédure d'appel envers l'État (art. 428 CPP), y compris un émolument de décision de CHF 1'000.-. Vu l'issue de son appel et la confirmation des verdicts de culpabilité, il n'y a pas lieu de revoir la répartition des frais de première instance, y compris la mise à sa charge de l'émolument complémentaire de jugement.</w:t>
      </w:r>
    </w:p>
    <w:p>
      <w:r>
        <w:rPr>
          <w:b/>
        </w:rPr>
        <w:t>E. 7</w:t>
      </w:r>
    </w:p>
    <w:p>
      <w:r>
        <w:t>7.1.1.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al. 1 du règlement sur l'assistance juridique (RAJ) s'applique, arrêtant le tarif horaire, débours de l'étude inclus à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w:t>
      </w:r>
    </w:p>
    <w:p>
      <w:r>
        <w:rPr>
          <w:b/>
        </w:rPr>
        <w:t>E. 7.2</w:t>
      </w:r>
    </w:p>
    <w:p>
      <w:r>
        <w:t>En l'occurrence, il convient de retrancher de l'état de frais de Me B______ l'entier de l'activité de son avocat stagiaire dans la mesure où celle-ci porte uniquement sur des postes couverts par le forfait.</w:t>
      </w:r>
    </w:p>
    <w:p>
      <w:r>
        <w:t>Partant, la rémunération de la défenseure d'office de A______ sera arrêtée à CHF 875.61 correspondant à 4 heures et 30 minutes d'activité au tarif de CHF 150.-/heure plus la majoration forfaitaire de 20% et l'équivalent de la TVA au taux de 8.1% en CHF 65.61. * * * * *</w:t>
      </w:r>
    </w:p>
    <w:p>
      <w:r>
        <w:t>- 14/16 - P/23497/2022</w:t>
      </w:r>
    </w:p>
    <w:p>
      <w:r>
        <w:rPr>
          <w:b/>
        </w:rPr>
        <w:t>E. 10</w:t>
      </w:r>
    </w:p>
    <w:p>
      <w:r>
        <w:t>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7.1.2.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Tel est notamment le cas de documents ne nécessitant pas ou peu de motivation ou autre investissement particulier en termes de travail juridique, telle l'annonce d'appel (AARP/184/2016 du 28 avril 2016 consid. 5.2.3.2 et 5.3.1 ; AARP/149/2016 du 20 avril 2016 consid. 5.3 et 5.4 ; AARP/146/2013 du</w:t>
      </w:r>
    </w:p>
    <w:p>
      <w:r>
        <w:t>- 13/16 - P/23497/2022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