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AARP/286/2021 vom 22. September 2021</w:t>
      </w:r>
    </w:p>
    <w:p>
      <w:r>
        <w:t>GE Cour de justice, 2021-09-22, FR</w:t>
      </w:r>
    </w:p>
    <w:p>
      <w:r>
        <w:rPr>
          <w:b/>
        </w:rPr>
        <w:t xml:space="preserve">Quelle: </w:t>
      </w:r>
      <w:r>
        <w:t>https://mcp.opencaselaw.ch/entscheid/ge_gerichte_AARP_286_2021</w:t>
      </w:r>
    </w:p>
    <w:p>
      <w:r>
        <w:t>FR: GE_GERICHTE AARP/286/2021 du 22 septembre 2021</w:t>
      </w:r>
    </w:p>
    <w:p>
      <w:r>
        <w:t>IT: GE_GERICHTE AARP/286/2021 del 22 settembre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À l'instar des autres moyens de preuve, le juge apprécie librement la force probante d'une expertise – dont celles portant sur l'analyse de profils d'ADN (M. NIGGLI / M. HEER / H. WIPRÄCHTIGER (éds), Strafprozessordnung / Jugendstrafprozess- ordnung, Basler Kommentar StPO/JStPO, 2e éd., Bâle 2014, n. 2 ad art. 182 ; A. KUHN / Y. JEANNERET (éds), Commentaire romand : Code de procédure pénale suisse, Bâle 2011, n. 2,7, 10 ad art. 182) –, étant rappelé qu'il ne peut s'écarter des conclusions de l'expert sans motifs sérieux et qu'il doit alors motiver sa décision (ATF 129 I 49 ; arrêt du Tribunal fédéral 6B_787/2009 du 27 novembre 2009 consid. 1.1).</w:t>
      </w:r>
    </w:p>
    <w:p>
      <w:r>
        <w:rPr>
          <w:b/>
        </w:rPr>
        <w:t>E. 2.2</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2ème édition, Bâle 2020, n. 3 et 4 ad art. 12 CP). La punissabilité du séjour irrégulier selon l'art. 115 al. 1 let b. LEI suppose que l'étranger ne se trouve pas dans l'impossibilité de quitter la Suisse et de rentrer légalement dans son pays d'origine, par exemple en raison d'un refus du pays d'origine d'admettre le retour de ses ressortissants ou de délivrer des papiers d'identité (ATF 143 IV 249 consid. 1.6.1).</w:t>
      </w:r>
    </w:p>
    <w:p>
      <w:r>
        <w:rPr>
          <w:b/>
        </w:rPr>
        <w:t>E. 2.3</w:t>
      </w:r>
    </w:p>
    <w:p>
      <w:r>
        <w:t>L’art. 19 al. 1 LStup réprime notamment l’entreposage, le transport, l’aliénation, la détention et la possession de stupéfiants. Il ne réprime pas une infraction unique de</w:t>
      </w:r>
    </w:p>
    <w:p>
      <w:r>
        <w:t>- 9/20 - P/22687/2020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la nature indépendante des infractions elles-mêmes (arrêt du Tribunal fédéral 6B_704/2012 du 3 avril 2013 consid. 1.2). Selon l'art. 19 ch. 2 let. a LStup, le cas est grave lorsque l'auteur sait ou ne peut ignorer que l'infraction peut directement ou indirectement mettre en danger la santé de nombreuses personnes. S'agissant de la quantité pour la cocaïne, la condition objective est remplie dès que l'infraction porte sur une quantité contenant 18 grammes de substance pure (ATF 145 IV 312 consid. 2.1 ; 138 IV 100 consid. 3.2).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w:t>
      </w:r>
    </w:p>
    <w:p>
      <w:r>
        <w:rPr>
          <w:b/>
        </w:rPr>
        <w:t>E. 2.4</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s'appliquer à l'erreur sur la qualification juridique de l'infraction ou de l'un de ses éléments constitutifs, mais règle le cas où l'auteur se</w:t>
      </w:r>
    </w:p>
    <w:p>
      <w:r>
        <w:t>- 10/20 - P/22687/2020 trompe sur le caractère illicite de l'acte (arrêt du Tribunal fédéral 6B_626/2008 du 11 novembre 2008 consid. 8.1). 2.5.1. En l’espèce, nonobstant les dénégations de l’appelant, son implication dans un trafic de stupéfiants portant sur plus de 220 grammes de cocaïne ainsi que de la MDMA est établie. Ces faits reposent d’abord sur les déclarations constantes et crédibles du consommateur, lequel disposait de surcroît d’un revenu confortable lui permettant d’assouvir ce vice, ce qui n’a pas échappé à l’appelant qui l’a poussé à la consommation pendant la période pénale. Les échanges de messages entre eux sont éloquents à cet égard. Il n’y a pas lieu de s’écarter des quantités énoncées par le consommateur, soit 80 grammes de cocaïne et 15 grammes de MDMA, cette dernière quantité correspondant à celle saisie par la police. Le consommateur a en effet expliqué acheter cinq ou dix grammes de cocaïne à chaque transaction, qui avaient lieu plusieurs fois par semaine, et les relevés téléphoniques permettent d’établir à tout le moins 10 à 15 rencontres ; la quantité de 80 grammes est donc estimée de façon conservatrice au vu de l’intensité de leurs contacts, étant au surplus rappelé que 20 grammes bruts de cocaïne, provenant manifestement de ces transactions, ont été saisis chez le consommateur, qui n’avait ainsi pas tout consommé lors de son interpellation. La livraison, le jour de leur arrestation, d’une quantité de plus de 100 grammes à ce client est établie par les circonstances du jour des faits, notamment l’arrestation de l’appelant au pied de l’immeuble, et par les déclarations constantes du consommateur. Il s’y ajoute que si l’appelant a fait obstacle à l’analyse de son téléphone, celle de l’appareil du consommateur permet de retenir que celui-ci n’avait à cette période pas d’autre fournisseur, surtout pour une quantité aussi importante. Comme le souligne à raison le MP, la manière dont l’appelant devait être payé pour cette drogue, s’il devait la récupérer ultérieurement ou déterminer quelle en était la destination finale est sans importance. Il est en effet établi que cette remise a été effectuée par l’appelant, à des fins de vente, ce qui constitue une infraction à l’art. 19 al. 1 let. b et c LStup, de surcroît aggravée au sens de l’al. 2 let. a de cette disposition au vu de la quantité (plus de 50 grammes de cocaïne pure). Enfin, l’appelant a admis en appel avoir eu connaissance de la présence de la cocaïne dans l’appartement qu’il a finalement reconnu avoir occupé à l’avenue 2______. Cette déclaration pourrait à elle seule emporter un verdict de culpabilité dans la mesure où elle constitue l’admission d’une co-détention de cette drogue. Les analyses ADN effectuées démontrent de surcroît que l’appelant n’était pas simplement le dépositaire ou le détenteur de cette cocaïne, mais qu’il l’a manipulée vraisemblablement à des fins de conditionnement. Son explication selon laquelle elle était destinée à une consommation récréative le soir-même, également nouvelle en</w:t>
      </w:r>
    </w:p>
    <w:p>
      <w:r>
        <w:t>- 11/20 - P/22687/2020 appel, est en tout état incompatible avec la quantité en cause (plus de 40 grammes) qui constitue bien plus le stock de son trafic. L’existence de « E______ » apparaît pour le moins douteuse, la police n’ayant retrouvé aucune trace de présence d’un tiers dans l’appartement, même si le consommateur a pour sa part indiqué y avoir rencontré d’autres personnes. En tout état de cause, les éléments recueillis permettent d’imputer la détention de cette cocaïne à l’appelant au-delà de tout doute raisonnable. Le verdict de culpabilité pour infraction grave à la LStup doit ainsi être intégralement confirmé. 2.5.2. L’appelant expose avoir entrepris toutes les démarches pour permettre son renvoi de Suisse. En réalité, il ressort bien plutôt des pièces produites qu’il a certes entrepris des démarches pendant sa détention, manifestement dans le but d’obtenir une libération conditionnelle qui avait été ordonnée sous cette condition ; il n’a toutefois entrepris aucune démarche effective auprès de sa famille, notamment pas au cours de sa détention ni après sa remise en liberté, pour obtenir un document permettant la délivrance du laissez-passer indispensable, faute pour lui de disposer d’un document d’identité. Ses explications à ce sujet n’emportent aucune conviction, dans la mesure où même s’il n’a plus son passeport, il a manifestement des contacts avec son pays. Il a d’ailleurs été autorisé, pendant sa détention dans la présente cause, à effectuer des appels téléphoniques à direction de son pays, ce qui démontre qu’il y a encore des liens. L’appelant n’a jamais obtenu de titre de séjour en Suisse depuis l’échéance de son permis F en 2017. Séjournant dans notre pays depuis plusieurs années, il ne pouvait ignorer la nécessité d’une autorisation pour ce faire, et s’est accommodé de son absence, encourant d’ailleurs en 2018 une condamnation notamment pour séjour illégal ; ses précédentes condamnations pour infraction à la LEI étaient fondées sur l’art. 119 de cette loi. Il ne peut dès lors sérieusement prétendre avoir cru que le report de l’expulsion – mesure pénale – lui conférait un droit de séjour en Suisse de la même durée. Au contraire, la décision de report lui rappelait expressément son obligation d’effectuer les démarches pour quitter le pays. Le report de l’exécution signifiait simplement qu’en raison de la situation de pandémie, une exécution de l’expulsion sous la contrainte n’était pas envisageable. Il ne peut se prévaloir d’une erreur sur l’illicéité. L’appelant se trouve donc bel et bien dans la situation de celui qui ne collabore pas avec l’autorité. La condamnation du chef de séjour illégal sera partant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- 12/20 - P/22687/2020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le juge prononce une peine d’ensemble en vertu de l’art. 49 CP (art. 89 al. 6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w:t>
      </w:r>
    </w:p>
    <w:p>
      <w:r>
        <w:t>- 13/20 - P/22687/2020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w:t>
      </w:r>
    </w:p>
    <w:p>
      <w:r>
        <w:rPr>
          <w:b/>
        </w:rPr>
        <w:t>E. 3.4</w:t>
      </w:r>
    </w:p>
    <w:p>
      <w:r>
        <w:t>En l’espèce, l’appelant ne conteste à raison ni la révocation de sa libération conditionnelle, ni le prononcé d’une peine ferme. En tout état de cause, sa situation personnelle et ses antécédents ne permettant pas le prononcé d’un sursis, au vu du nombre de condamnations qui ne l’ont pas dissuadé de récidiver. Il paraît définitivement réfractaire au respect de l’ordre légal et insensible à la sanction. Le pronostic ne peut qu’être défavorable. Sa faute est importante. Il n’a pas hésité à inciter son principal client à augmenter sa consommation, en se comportant de manière insistante, à la limite du harcèlement, sans égard pour sa santé, et l’amenant à une consommation toujours plus importante, pour pouvoir de son côté augmenter son profit. Il a agi essentiellement par appât du gain facile, sans égard pour la santé d’autrui, soit un mobile égoïste. L’appelant a très mal collaboré à l’enquête et n’a fait preuve d’aucune prise de conscience. Il a nié les faits alors qu’il avait été arrêté en quasi flagrant délit, refusé de fournir les codes d’identification de ses téléphones et cherché tout au long de la procédure à minimiser son rôle. Sa version des faits a varié au fil des auditions ; il est allé jusqu’à soutenir devant la Cour de céans que son coprévenu avait été incité au mensonge par son avocat… Les excuses présentées en toute fin des débats d’appel apparaissent de circonstance, et il ne semble pas avoir pris conscience de la gravité des faits reprochés ; ses explications sur les aspects financiers du trafic de stupéfiants démontrent au contraire qu’il considère cette activité comme une activité lucrative ordinaire. Rien ne justifie ni n’explique son comportement.</w:t>
      </w:r>
    </w:p>
    <w:p>
      <w:r>
        <w:t>Dans ces circonstances, l’infraction la plus grave est sans contexte le trafic de stupéfiants, qui a porté sur plus de 220 grammes de cocaïne. A eux seuls, ces faits emportent une peine privative de liberté de l’ordre de 20 mois, qui constitue la peine de base et qui doit être aggravée de deux mois (peine théorique : trois mois) pour tenir compte du séjour illégal. Cette peine doit encore être aggravée pour tenir</w:t>
      </w:r>
    </w:p>
    <w:p>
      <w:r>
        <w:t>- 14/20 - P/22687/2020 compte de la révocation de la libération conditionnelle, qui entraîne une aggravation de deux mois supplémentaire, pour une peine d’ensemble de deux ans.</w:t>
      </w:r>
    </w:p>
    <w:p>
      <w:r>
        <w:t>La Cour de céans étant liée par l’interdiction de la reformatio in peius, la peine privative de liberté de 22 mois prononcée par le premier juge sera ainsi confirmée et l’appel sur ce point rejeté.</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Lorsqu'un gain n'est réalisé que partiellement de manière illicite, seul doit être confisqué l'avantage obtenu de manière illégale (ATF 119 IV 145 consid. 3 p. 153). Les dispositions du CP concernant la confiscation de valeurs patrimoniales et de valeurs de remplacement par le prononcé d'une créance compensatrice de l'Etat ne précisent pas si, lors du calcul de la valeur à saisir, la valeur nette ("Nettoprinzip") ou brute ("Bruttoprinzip") doit être retenue. La jurisprudence incline pour la prise en compte d'une valeur brute, mais préconise l'observation du principe général de la proportionnalité (ATF 141 IV 305 consid. 6.3.3 p. 313 ; 124 I 6 consid. 4b/bb p. 8 et suivante avec les références ; arrêts du Tribunal fédéral 6B_56/2010 du 29 juin 2010 consid. 3.2, 6B_697/2009 du 30 mars 2010 consid. 2.2, 6P.236/2006 du 23 mars 2007 consid. 11.3, non publié aux ATF 133 IV 112). Ainsi, le Tribunal fédéral a retenu le principe de la recette brute pour, notamment, des comportements généralement interdits, tels que le trafic de stupéfiants (arrêt 6B_986/2008 du 20 avril 2009 consid. 6.1.1), le recel par métier (arrêt 6B_728/2010 du 1er mars 2011 consid. 4.6) ou le blanchiment d'argent (arrêt 6S.426/2006 du 28 décembre 2006 consid. 5). Par contre, le principe de la recette nette trouve application lors de la commission d'une simple contravention (ATF 141 IV 305 consid. 6.3.3 p. 313 ; 141 IV 317 consid. 5.8.2 p. 326 s. ; 124 I 6 consid. 4b/cc et dd p. 9 ss ; arrêt du Tribunal fédéral 6B_697/2009 du 30 mars 2010 consid. 2.4.1).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w:t>
      </w:r>
    </w:p>
    <w:p>
      <w:r>
        <w:t>- 15/20 - P/22687/2020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4.2</w:t>
      </w:r>
    </w:p>
    <w:p>
      <w:r>
        <w:t>En l’espèce, le prévenu est reconnu coupable d’un trafic de stupéfiants portant sur 80 grammes de cette drogue, vendu au prix de CHF 80.- le gramme, ce qui correspond à un chiffre d’affaires de CHF 6'400.-, ainsi que sur une quantité supplémentaire de 103.7 grammes, ce qui représente plus de CHF 8'240.- et 42.4 grammes retrouvés à son domicile, ce qui représente encore CHF 3'360.-. Son chiffre d’affaires brut s’élève ainsi à CHF 18’000.-, sans compter la vente de MDMA et de cannabis. Compte tenu de la prise en compte d'une valeur brute, et dans la mesure où – dans le respect du principe de proportionnalité – les valeurs correspondantes sont disponibles, la confiscation de l’intégralité des fonds saisis est pleinement justifiée. L’appelant revendique la restitution d’une somme de CHF 4'600.-, correspondant selon lui à son pécule insaisissable, reçu à l’échéance de sa détention au printemps 2020. A cet égard, il convient tout d’abord de relever que ledit pécule ne s’élevait qu’à CHF 3'686.60. Cette somme, une fois restituée à l’appelant et donc remise à sa disposition, a perdu tout caractère insaisissable au sens de la loi fédérale sur la poursuite pour dettes et la faillite (LP), ce dont l’appelant, à juste titre, ne se prévaut d’ailleurs pas. L’appelant justifie, par la restitution de la somme de CHF 4'601.90 en novembre 2020, avoir détenu ce montant à cette période. Il apparaît toutefois qu’il est très vraisemblable, au vu des quantités de drogue saisies au moment de son arrestation, que ces sommes ont été investies dans son trafic, notamment pour financer l’acquisition d’une partie de la drogue vendue dans l’intervalle, voire retrouvée à son domicile. Les valeurs retrouvées lors de la perquisition du domicile de l’appelant l’ont été au salon, sur la table, sans distinction particulière à teneur de l’inventaire dressé qui mentionne que 45.4 grammes bruts de cocaïne et une balance électronique ont été retrouvées sur la même table basse.</w:t>
      </w:r>
    </w:p>
    <w:p>
      <w:r>
        <w:t>- 16/20 - P/22687/2020 L’ensemble de ces éléments démontre que l’argent saisi par la police était lié directement au trafic de stupéfiants conduit dans l’appartement de l’avenue 2______, et les éléments apportés par l’appelant n’ébranlent pas ces constatations. L’appel doit dès lors également être rejeté sur ce point.</w:t>
      </w:r>
    </w:p>
    <w:p>
      <w:r>
        <w:rPr>
          <w:b/>
        </w:rPr>
        <w:t>E. 5.1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infraction grave à la LStup (let. o). L’expulsion de l’appelant doit ainsi être prononcée, et ce pour une durée de 20 ans conformément à l’art. 66b CP, puisqu’il a déjà fait l’objet d’une première expulsion. Le fait que celle-ci ait fait l’objet d’une décision de report n’y change rien.</w:t>
      </w:r>
    </w:p>
    <w:p>
      <w:r>
        <w:rPr>
          <w:b/>
        </w:rPr>
        <w:t>E. 5.2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5.3</w:t>
      </w:r>
    </w:p>
    <w:p>
      <w:r>
        <w:t>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5.4</w:t>
      </w:r>
    </w:p>
    <w:p>
      <w:r>
        <w:t>En l'espèce, l'appelant, qui n’a aucun lien avec la Suisse, y réside illégalement et fait déjà l’objet d’une première expulsion, ne saurait se prévaloir d’un quelconque cas de rigueur. Il a déclaré vouloir partir ailleurs, sans projet concret. Aucun élément n'indique qu'il serait autorisé à séjourner dans un pays de l’espace Schengen. Par ailleurs, rien ne</w:t>
      </w:r>
    </w:p>
    <w:p>
      <w:r>
        <w:t>- 17/20 - P/22687/2020 l'empêche de concrétiser ses projets dans son pays natal. Il peut aussi vivre et travailler hors espace Schengen. Au vu des infractions commises et de la récidive spécifique, l'intérêt de la collectivité à son éloignement durable de l'espace Schengen prime sur son intérêt privé. C'est donc à juste titre que le premier juge a décidé que son expulsion devait être signalée dans le SIS. L'appel sera partant rejeté sur ce point dès lors que la mesure est proportionnée.</w:t>
      </w:r>
    </w:p>
    <w:p>
      <w:r>
        <w:rPr>
          <w:b/>
        </w:rPr>
        <w:t>E. 6</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l'Etat (art. 428 CPP). * * * * *</w:t>
      </w:r>
    </w:p>
    <w:p>
      <w:r>
        <w:t>- 18/20 - P/22687/2020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