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AARP/285/2014 vom 17. Juni 2014</w:t>
      </w:r>
    </w:p>
    <w:p>
      <w:r>
        <w:t>GE Cour de justice, 2014-06-17, FR</w:t>
      </w:r>
    </w:p>
    <w:p>
      <w:r>
        <w:rPr>
          <w:b/>
        </w:rPr>
        <w:t xml:space="preserve">Quelle: </w:t>
      </w:r>
      <w:r>
        <w:t>https://mcp.opencaselaw.ch/entscheid/ge_gerichte_AARP_285_2014</w:t>
      </w:r>
    </w:p>
    <w:p>
      <w:r>
        <w:t>FR: GE_GERICHTE AARP/285/2014 du 17 juin 2014</w:t>
      </w:r>
    </w:p>
    <w:p>
      <w:r>
        <w:t>IT: GE_GERICHTE AARP/285/2014 del 17 giugno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L’appel ne porte en l’espèce que sur la quotité de la peine infligée à l’intimé par les premiers juges.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- 12/15 - P/17701/2012 2.2.2.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2.2.3.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 Même si la quantité de drogue ne joue pas un rôle prépondérant, elle constitue sans conteste un élément important. Elle perd cependant de l'importance au fur et à mesure que l'on s'éloigne de la limite, pour la cocaïne, de 18 grammes de substance pure (cf. ATF 138 IV 100 consid. 3.2 p. 103 ; 120 IV 334 consid. 2a p. 338 ; 109 IV 143 consid. 3b p. 145) à partir de laquelle le cas doit être considéré comme grave.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 et agit pour financer sa propre consommation de celui qui participe à un trafic uniquement poussé par l'appât du gain (arrêt 6B_567/2012 du 18 décembre 2012 consid. 3.2 ; 6B_793/2011 du 26 janvier 2012 consid. 4.1 et les références citées).</w:t>
      </w:r>
    </w:p>
    <w:p>
      <w:r>
        <w:rPr>
          <w:b/>
        </w:rPr>
        <w:t>E. 2.3</w:t>
      </w:r>
    </w:p>
    <w:p>
      <w:r>
        <w:t>En l’espèce, il est établi par le dossier et non contesté que la circonstance aggravante prévue à la lettre a de l'art. 19 al. 2 LStup est réalisée.</w:t>
      </w:r>
    </w:p>
    <w:p>
      <w:r>
        <w:t>- 13/15 - P/17701/2012 La faute de l’intimé est importante, dans la mesure où, bien qu’ayant agi uniquement comme transporteur au sein d'un réseau de trafiquants international et à une seule reprise, il a eu un contact direct avec ces derniers en participant dans une certaine mesure à la mise au point de l'opération en cause. Il a par ailleurs fait preuve d'une détermination certaine dans la favorisation de l'importation de drogue en Suisse et, même s’il ignorait le poids et le degré de pureté de celle-ci, il avait manifestement conscience que la quantité de cocaïne transportée était conséquente et qu’elle dépassait largement les quelques dizaines de grammes pouvant mettre en danger la santé de nombreuses personnes. Les agissements de l’intimé au Brésil, en lien avec la réception d'argent, démontrent toutefois que celui-ci n’avait pas de réelle marge d’autonomie et n’était qu’un exécutant. Même si son rôle était indispensable au trafic, il n’en était qu’un simple rouage et on ne peut pas retenir qu’il a contribué, par ses agissements, à son financement. Par ailleurs, comme l’ont relevé les premiers juges, il ne fait guère de doute qu'il a agi par pur appât de gain, sa situation personnelle, bien que difficile, n'étant pas désespérée. L'intéressé avait jusqu'à peu de temps avant les faits un travail au Portugal, preuve qu'il était en mesure de gagner sa vie honnêtement. En revanche, il ne serait pas juste de retenir comme facteur aggravant le fait que sa situation financière n’était pas aussi précaire que celle d’autres « mules » venues de pays en voie de développement. Il en va de même quant au fait qu’il n’a pas pris de risque pour sa propre santé, faute d’avoir ingéré la cocaïne convoyée. Il ressort également du dossier que, dans un premier temps, le prévenu n'a pas voulu collaborer et a menti durant la procédure, au motif qu'il craignait que les trafiquants ne s'en prennent à ses proches ou directement à lui-même. Ses craintes paraissaient effectivement fondées, réelles et légitimes au vu des propos avérés tenus par l’organisateur du trafic qui avait chargé quelqu’un de le retrouver, notamment la phrase "sinon on lui donne un tir" qui ressort d’une écoute téléphonique en parlant de lui. Il était ainsi compréhensible que les inquiétudes éprouvées par l’intimé le retiennent de coopérer pleinement. Dans un second temps, ayant appris l'arrestation des autres protagonistes, l’intimé a activement collaboré, son récit détaillé permettant de corroborer les éléments ressortant des écoutes téléphoniques, collaboration que le Ministère public a lui-même saluée en la qualifiant d’utile. A sa décharge, il a aussi exprimé des regrets, présenté des excuses et semble avoir pris conscience des conséquences de ses agissements délictueux. L’intimé n'a pas d'antécédents, étant rappelé qu'il s'agit là d'un facteur neutre dans la détermination de la peine (ATF 136 IV 1). Le Tribunal correctionnel n’a donc pas minimisé le rôle du prévenu dans le trafic pour lequel il a été reconnu coupable et a tenu compte de sa situation personnelle et ce, de manière objective.</w:t>
      </w:r>
    </w:p>
    <w:p>
      <w:r>
        <w:t>- 14/15 - P/17701/2012</w:t>
      </w:r>
    </w:p>
    <w:p>
      <w:r>
        <w:rPr>
          <w:b/>
        </w:rPr>
        <w:t>E. 2.4</w:t>
      </w:r>
    </w:p>
    <w:p>
      <w:r>
        <w:t>Au vu de l'ensemble de ces circonstances, la peine privative de liberté de trois ans prononcée en première instance à l’encontre de l’intimé est adéquate, car adaptée à sa culpabilité, et doit être confirmée et, partant, l'appel du Ministère public rejeté. Il en va de même du sursis partiel (art. 43 CP), dont les conditions sont au demeurant réalisées, et qui est acquis à l’intimé en application de l’interdiction de la reformatio in pejus, en l’absence d’appel du Ministère public sur ce point (art. 391 al. 2 CPP).</w:t>
      </w:r>
    </w:p>
    <w:p>
      <w:r>
        <w:rPr>
          <w:b/>
        </w:rPr>
        <w:t>E. 2.5</w:t>
      </w:r>
    </w:p>
    <w:p>
      <w:r>
        <w:t>Le jugement entrepris doit ainsi être entièrement confirmé.</w:t>
      </w:r>
    </w:p>
    <w:p>
      <w:r>
        <w:rPr>
          <w:b/>
        </w:rPr>
        <w:t>E. 3</w:t>
      </w:r>
    </w:p>
    <w:p>
      <w:r>
        <w:t>Vu l'issue de l'appel et la qualité de l’appelant, les frais de la procédure seront laissés à la charge de l'Etat. * * * * *</w:t>
      </w:r>
    </w:p>
    <w:p>
      <w:r>
        <w:t>- 15/15 - P/17701/2012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