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AARP/284/2016 vom 18. Juli 2016</w:t>
      </w:r>
    </w:p>
    <w:p>
      <w:r>
        <w:t>GE Cour de justice, 2016-07-18, FR</w:t>
      </w:r>
    </w:p>
    <w:p>
      <w:r>
        <w:rPr>
          <w:b/>
        </w:rPr>
        <w:t xml:space="preserve">Quelle: </w:t>
      </w:r>
      <w:r>
        <w:t>https://mcp.opencaselaw.ch/entscheid/ge_gerichte_AARP_284_2016</w:t>
      </w:r>
    </w:p>
    <w:p>
      <w:r>
        <w:t>FR: GE_GERICHTE AARP/284/2016 du 18 juillet 2016</w:t>
      </w:r>
    </w:p>
    <w:p>
      <w:r>
        <w:t>IT: GE_GERICHTE AARP/284/2016 del 18 luglio 2016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principal ne conteste désormais plus sa culpabilité, sinon qu'il entend faire valoir des circonstances particulières susceptibles de conduire à une réduction de sa peine, notamment au motif d'une responsabilité faiblement diminuée. Le verdict de culpabilité sera ainsi confirmé dans la mesure où ses actes sont constitutifs des infractions reprochées.</w:t>
      </w:r>
    </w:p>
    <w:p>
      <w:r>
        <w:rPr>
          <w:b/>
        </w:rPr>
        <w:t>E. 2.3</w:t>
      </w:r>
    </w:p>
    <w:p>
      <w:r>
        <w:t>citant l'ATF 136 IV 55, consid. 5.6). En cas de diminution de la responsabilité pénale, le juge doit, dans un premier temps, décider, sur la base des constatations de fait de l'expertise, comment la diminution de la responsabilité pénale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l'acte (Täterkomponente) (arrêt 6B_616/2016 du Tribunal fédéral 5 avril 2016, consid. 2.3 in fine citant l'ATF 136 IV 55, consid. 5.7).</w:t>
      </w:r>
    </w:p>
    <w:p>
      <w:r>
        <w:rPr>
          <w:b/>
        </w:rPr>
        <w:t>E. 3.1</w:t>
      </w:r>
    </w:p>
    <w:p>
      <w:r>
        <w:t>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129 I 49 consid. 4; 128 I 81 consid. 2 ; M. DUPUIS / B. GELLER / G. MONNIER / L. MOREILLON / C.</w:t>
      </w:r>
    </w:p>
    <w:p>
      <w:r>
        <w:t>- 18/26 - P/6855/2014 PIGUET / C. BETTEX / D. STOLL (éds), Code pénal - Petit commentaire, Bâle 2012, n. 16 ad art. 20).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w:t>
      </w:r>
    </w:p>
    <w:p>
      <w:r>
        <w:rPr>
          <w:b/>
        </w:rPr>
        <w:t>E. 3.2</w:t>
      </w:r>
    </w:p>
    <w:p>
      <w:r>
        <w:t>En l'espèce, les experts ont posé un diagnostic de trouble de la préférence sexuelle, y compris pédophilie. Ce diagnostic n'est à raison pas remis en question par les parties, dès lors qu'il est en corrélation avec les faits désormais admis. Les premiers juges ne peuvent être suivis dans leur appréciation consistant à écarter la faible diminution de la responsabilité du prévenu sur la base d'une capacité volitive intacte, en retenant que "[son] comportement [démontrait] qu'il était en pleine possession de ses moyens" (jugement entrepris, p. 36). La conclusion du Tribunal correctionnel se base sur des exemples (victimes non choisies par hasard, dissimulation pour passer à l'acte, utilisation des préservatifs pour les seules relations avec la victime la plus âgée pour se préserver d'éventuelles maladies sexuellement transmissibles, remise d'argent) qui sont, peu ou prou, ceux retenus par les experts pour admettre les facultés organisationnelles du prévenu et sa capacité à "acheter" le silence des victimes. Pour la CPAR, il n'est pas possible de se fonder sur la maîtrise des événements par le prévenu pour conclure à une capacité volitive pleine et entière, contrairement aux conclusions des experts, sauf à établir l'existence d'incohérences au sein de l'expertise, ce qui n'est pas allégué. Alors même qu'il avait déjà commis des abus sexuels sur l'une de ses victimes, l'appelant, amené à côtoyer un enfant plus jeune, n'a pas été en mesure de résister à ses pulsions en refusant ou en cessant tout contact une fois le danger réalisé. Il a au contraire conduit sa victime à consentir à des actes sexuels d'une gravité indicible, se permettant même d'agir dans sa propre maison, voire même dans le lit conjugal, après s'être assuré de la dissimulation de ses actes quand son épouse était présente. La fréquence et la durée des actes retenus étayent encore les conclusions de l'expert. Contrairement à ce qu'ont retenu les premiers juges, la vulnérabilité décisionnelle de l'appelant est le reflet de l'altération de sa capacité volutive, et partant de l'existence d'une responsabilité légèrement diminuée. Le jugement entrepris sera</w:t>
      </w:r>
    </w:p>
    <w:p>
      <w:r>
        <w:t>- 19/26 - P/6855/2014 réformé sur ce point, et la responsabilité restreinte admise, conformément aux conclusions de l'expertise qui ne révèle aucune contradiction.</w:t>
      </w:r>
    </w:p>
    <w:p>
      <w:r>
        <w:rPr>
          <w:b/>
        </w:rPr>
        <w:t>E. 4.1</w:t>
      </w:r>
    </w:p>
    <w:p>
      <w:r>
        <w:t>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 Sur la base de cette appréciation, le juge doit prononcer la peine en tenant compte des autres critères de la fixation de celle-ci Un tel procédé permet de tenir compte de la diminution de la responsabilité sans lui attribuer une signification excessive (arrêt 6B_616/2016 du Tribunal fédéral 5 avril 2016, consid.</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w:t>
      </w:r>
    </w:p>
    <w:p>
      <w:r>
        <w:t>- 20/26 - P/6855/2014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citées), de psychoses claustrophobiques ou de surdimutité (arrêt du Tribunal fédéral 6B_508/2008 du 7 août 2008 consid. 3.5 et les références citées). Aux critères que pose l'art. 47 CP s'ajoute la nécessité de prendre en considération l'effet de la peine sur l'avenir du condamné.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t>- 21/26 - P/6855/2014</w:t>
      </w:r>
    </w:p>
    <w:p>
      <w:r>
        <w:rPr>
          <w:b/>
        </w:rPr>
        <w:t>E. 4.3</w:t>
      </w:r>
    </w:p>
    <w:p>
      <w:r>
        <w:t>La faute du prévenu est très lourde. Il s’en est pris à la libre détermination en matière sexuelle des deux enfants, dont l'un à l'âge pré-pubère, et à leur développement psycho-sexuel. Il a profité de la confiance née de la proximité domiciliaire pour l'un, de la vulnérabilité de l'autre, pour les initier à des actes sexuels particulièrement ignobles. Il a réduit ses victimes à l'état d'objets sexuels, annihilant toute volonté de résistance. Le caractère odieux de son comportement résulte aussi des circonstances, notamment lorsqu'il a abusé de la détresse d'un jeune homme souffrant de voir sa mère décédée prématurément. Le prévenu a abusé de lui alors même qu'il avait assuré à la défunte qu'il était à même de le protéger. Pour assouvir ses pulsions, il a monnayé les actes sexuels sollicités, sans se préoccuper du dégoût qu'ils provoquaient chez sa victime, celle-ci subissant les pires outrages qui puissent se concevoir. Le prévenu a mis en confiance l'autre victime, en comptant sur son envie de s'occuper des animaux, ce qui lui assurait la présence de l'enfant à son domicile. Sachant que sa victime n'était pas à même de résister si elle voulait obtenir l'argent utile à l'assouvissement de sa dépendance aux stupéfiants, l'appelant en a fait son objet sexuel. Un cercle vicieux s'est mis en place, ainsi qu'en a parlé de manière significative la victime. Le prévenu est allé jusqu'à feindre de l'empathie pour sa victime hospitalisée, faisant comme s'il n'était pour rien dans son mal-être. La durée des agissements du prévenu, sur près de dix ans, est particulièrement longue. Il n'a pas hésité à perpétuer des agissements coupables débutés courant 2004, en s'attachant la présence d'un deuxième enfant après que le premier lui avait "échappé". Dans cette mesure, le prévenu ne peut tirer aucun profit de la cessation de ses abus à l'égard de C______ qui, de par la maturité acquise et par ruse, avait pu lui faire entendre son opposition. Les mobiles du prévenu étaient purement égoïstes, à savoir la satisfaction de ses instincts sexuels au détriment de la liberté sexuelle de deux enfants mais aussi de leur développement psychique. Il pouvait mettre fin à ses actes, notamment quand sa première victime a déménagé à D______ ou quand la seconde a été hospitalisée. A l’époque des faits, il était bien inséré socialement, de sorte que ses agissements sont d’autant plus incompréhensibles. Les séquelles ont été très lourdes, la partie plaignante F______ présentant toujours un désordre post-traumatique, certes atténué par les actes thérapeutiques en cours. La reconstruction d'un équilibre psycho-sexuel sera longue et empreinte de difficultés, voire de rechutes, même si la reconnaissance du statut de victime peut contribuer à l'amélioration de leur état. Les difficultés découlant de l'adolescence ont pu certes jouer un rôle dans les difficultés rencontrées, et singulièrement le deuil qui a frappé douloureusement la seconde partie plaignante, mais sans commune mesure avec l'impact d'abus sexuels répétés et abjects.</w:t>
      </w:r>
    </w:p>
    <w:p>
      <w:r>
        <w:t>- 22/26 - P/6855/2014 La collaboration du prévenu à la procédure a été longtemps exécrable, cherchant à décrédibiliser les victimes ou laissant à penser qu'elles étaient consentantes en persistant à venir à son domicile. Certes, il a fini par reconnaître l'entier des faits reprochés durant la phase d'appel, sans que l'interrogatoire auquel il a été confronté ne dissipe tous les doutes sur le fond de sa pensée. Parallèlement à la reconnaissance des faits, les débats d'appel ont permis de constater une ébauche de prise de conscience chez le prévenu, encore bien fragile, alors qu'elle s'était révélée particulièrement anémique jusque-là, ainsi qu'en témoigne la qualification de sa relation avec l'intimé F______. La juridiction d'appel veut bien accepter que l'incarcération du prévenu après le verdict de première instance a participé à sa prise de conscience, ainsi que l'a plaidé son conseil. Les démarches entreprises en vue de pouvoir indemniser les parties plaignantes et leur conseil sont aussi de bon augure, même si la CPAR ignore si elles ont abouti à ce jour. Le nécessaire a en tout cas été fait pour que tel soit le cas, ce qui est positif, surtout de la part d'un homme qui a longtemps été dans le déni. Il y a concours d'infractions, ce qui est de nature à entraîner une aggravation de la peine. L'âge du prévenu est élevé, sans qu'il puisse être retenu une difficulté plus marquée que pour un autre détenu à l'âge comparable. Au demeurant, il reçoit en prison les soins adaptés à ses besoins, ainsi qu'en témoigne l'intervention cardiaque à venir. En revanche, conformément à l'opinion exprimée par les premiers juges, l'âge avancé du prévenu est un élément à décharge significatif, tant il est évident que le défaut de casier judiciaire à 80 ans est évocateur, plus qu'à 20 ou 25 ans, d'un parcours de vie respectueux des normes. Au vu de ce qui précède, la CPAR est d'avis que la faute très lourde du prévenu aurait, sans prise en compte d'une responsabilité faiblement diminuée, justifié une peine supérieure à celle prononcée par les premiers juges, proche des deux tiers de la peine-menace de 15 ans liée au concours d'infractions. Une sanction de huit ans tient dès lors équitablement compte de la gravité des actes désormais reconnus par l'appelant, à leur répétition, pendant plusieurs années, dans des circonstances particulièrement sordides, et à l'émergence de facteurs plus positifs, même fragiles, auxquels s'ajoute la responsabilité faiblement diminuée du prévenu. Ainsi les appelants – principal et joint – seront-ils déboutés de leur appel respectif portant sur la quotité de la peine.</w:t>
      </w:r>
    </w:p>
    <w:p>
      <w:r>
        <w:rPr>
          <w:b/>
        </w:rPr>
        <w:t>E. 5.1</w:t>
      </w:r>
    </w:p>
    <w:p>
      <w:r>
        <w:t>L’art 433 al. 1 CPP permet à la partie plaignante de demander au prévenu une juste indemnité pour les dépenses obligatoires occasionnées par la procédure, notamment, lorsqu’elle obtient gain de cause (let. a). L’al. 2 prévoit que la partie plaignante adresse ses prétentions à l’autorité pénale ; elle doit les chiffrer et les justifier.</w:t>
      </w:r>
    </w:p>
    <w:p>
      <w:r>
        <w:t>- 23/26 - P/6855/2014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Bâle 2011, n. 8 ad art.433 ; N. SCHMID, op. cit., n. 3 ad art. 433).</w:t>
      </w:r>
    </w:p>
    <w:p>
      <w:r>
        <w:rPr>
          <w:b/>
        </w:rPr>
        <w:t>E. 5.2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(AARP/286/2015 du 30 juin 2015 consid. 8.2 ; arrêts du Tribunal fédéral 2C_725/2010 du 31 octobre 2011 consid. 3 et 2C_25/2008 du 18 juin 2008 consid. 3, en matière d'assistance juridique, faisant référence aux tarifs usuels d'un conseil de choix à Genève).</w:t>
      </w:r>
    </w:p>
    <w:p>
      <w:r>
        <w:rPr>
          <w:b/>
        </w:rPr>
        <w:t>E. 5.3</w:t>
      </w:r>
    </w:p>
    <w:p>
      <w:r>
        <w:t>Le nombre d'heures d'activité annoncé par le conseil des intimés, adéquat, n'appelle pas de remarque particulière. Le tarif horaire sur la base duquel sont calculés les honoraires est conforme au tarif admis pour les chefs d'étude. Un montant de CHF 112.50 sera ajouté au décompte pour tenir compte du quart d'heure de durée supplémentaire des débats d'appel, ce qui porte à CHF 3'809.25 [CHF 3'748.50 + CHF 56.25 + TVA de CHF 4.50] et CHF 4'128.75 [CHF 4'068.- + CHF 56.25 + TVA de CHF 4.50] les montants, respectivement dus aux intimés C______ et F______, pour l'activité déployée par Me E______ en appel. Les parties plaignantes, qui n'ont pas appelé du jugement, n'ont pas à pâtir qu'elles n'ont pas entièrement été suivies en appel. L'appelant sera en conséquence condamné à s'acquitter de la totalité des honoraires dus pour l'activité déployée par leur conseil dans la procédure d'appel.</w:t>
      </w:r>
    </w:p>
    <w:p>
      <w:r>
        <w:rPr>
          <w:b/>
        </w:rPr>
        <w:t>E. 6</w:t>
      </w:r>
    </w:p>
    <w:p>
      <w:r>
        <w:t>L'appelant principal qui succombe, sinon sur ses conclusions tendant au rejet de l'appel joint et à la reconnaissance d'une faible diminution de sa responsabilité, supportera les frais de la procédure envers l'État, à raison de la moitié (art. 428</w:t>
      </w:r>
    </w:p>
    <w:p>
      <w:r>
        <w:t>- 24/26 - P/6855/2014 CPP), lesquels comprennent un émolument de procédure de CHF 4'000.- (art. 14 al. 1 let. e du Règlement fixant le tarif des frais en matière pénale du 22 décembre 2010 [RTFMP ; E 4 10.03]). L'appelant joint succombe également mais vu sa qualité, le solde des frais de la procédure d'appel sera laissé à la charge de l'Etat.</w:t>
      </w:r>
    </w:p>
    <w:p>
      <w:r>
        <w:t>* * * * *</w:t>
      </w:r>
    </w:p>
    <w:p>
      <w:r>
        <w:t>- 25/26 - P/6855/2014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