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AARP/283/2025 vom 4. August 2025</w:t>
      </w:r>
    </w:p>
    <w:p>
      <w:r>
        <w:t>GE Cour de justice, 2025-08-04, FR</w:t>
      </w:r>
    </w:p>
    <w:p>
      <w:r>
        <w:rPr>
          <w:b/>
        </w:rPr>
        <w:t xml:space="preserve">Quelle: </w:t>
      </w:r>
      <w:r>
        <w:t>https://mcp.opencaselaw.ch/entscheid/ge_gerichte_AARP_283_2025</w:t>
      </w:r>
    </w:p>
    <w:p>
      <w:r>
        <w:t>FR: GE_GERICHTE AARP/283/2025 du 4 août 2025</w:t>
      </w:r>
    </w:p>
    <w:p>
      <w:r>
        <w:t>IT: GE_GERICHTE AARP/283/2025 del 4 agosto 2025</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1.3</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1.4</w:t>
      </w:r>
    </w:p>
    <w:p>
      <w:r>
        <w:t>Lorsque seules des contraventions ont fait l'objet de la procédure de première instance, le pouvoir d'examen de l'autorité d'appel est limité à l'arbitraire en ce qui concerne l'établissement des faits, comme le prévoit l'art. 398 al. 4 CPP. L'autorité</w:t>
      </w:r>
    </w:p>
    <w:p>
      <w:r>
        <w:t>- 4/7 - P/23555/2024 d'appel ne peut, dans ce cas, procéder à une nouvelle appréciation des preuves ou revoir librement l'état de fait du tribunal de première instance (arrêt du Tribunal fédéral 6B_426/2019 du 31 juillet 2019 in SJ 2020 I 219).</w:t>
      </w:r>
    </w:p>
    <w:p>
      <w:r>
        <w:rPr>
          <w:b/>
        </w:rPr>
        <w:t>E. 2.1</w:t>
      </w:r>
    </w:p>
    <w:p>
      <w:r>
        <w:t>L'art. 11A al. 1 let. c ch. 2 LPG punit quiconque aura mendié aux abords immédiats des entrées et sorties de tout établissement à vocation commerciale, notamment les magasins, hôtels, cafés, restaurants, bars et discothèques. Cette disposition vise la mendicité, soit précisément le comportement reproché à l'appelante.</w:t>
      </w:r>
    </w:p>
    <w:p>
      <w:r>
        <w:rPr>
          <w:b/>
        </w:rPr>
        <w:t>E. 2.2</w:t>
      </w:r>
    </w:p>
    <w:p>
      <w:r>
        <w:t>Le Tribunal fédéral a été amené à se prononcer récemment sur la conformité de la législation en cause dans toute une série d'arrêts visant cette forme de mendicité poursuivie dans le canton ; notre Haute autorité a pris une position univoque retenant la problématique au regard du principe de la légalité des délits et des peines, la norme n'étant pas suffisamment précise pour envisager une répression égalitaire des cas d'espèce (cf. par exemple arrêt du Tribunal fédéral 6B_923/2024 du 19 mars 2025 consid. 7.4 à 7.8). Se posait également la question de la violation du principe de proportionnalité ; une sanction pénale, soit une amende pouvant se substituer en une peine privative de liberté d'un jour au moins, ne pouvait entrer en considération que comme ultima ratio après l'échec d'autres mesures, de nature administrative et plus adéquates, à l'instar de l'éloignement par la police (officiellement documentée) hors de la zone d'interdiction lors de la première infraction et l'avertissement administratif sous commination d'une amende en cas de récidive avant le prononcé d'une amende à la troisième occurrence, toutes mesures nécessitant, elles aussi, la mise en place d'un dispositif réglementaire (cf. arrêt du Tribunal fédéral, ibidem, consid. 8.5 et ss) ; le principe de proportionnalité n'était pas respecté lorsque le contrevenant n'avait pas été averti, avant d'être sanctionné (cf. arrêt du Tribunal fédéral, ibidem, consid. 8.5 et ss), ce qui devait conduire à l'annulation de la condamnation ne respectant pas les droits fondamentaux, le vice n'étant pas susceptible d'être guéri, et à l'acquittement (voir aussi ATF 149 I 248 consid. 5.4.6 et ss).</w:t>
      </w:r>
    </w:p>
    <w:p>
      <w:r>
        <w:rPr>
          <w:b/>
        </w:rPr>
        <w:t>E. 2.3</w:t>
      </w:r>
    </w:p>
    <w:p>
      <w:r>
        <w:t>En l'espèce, à la lecture du rapport de contravention du 10 avril 2024, il n'est pas possible de déterminer où se trouvait précisément l'appelante lorsqu'elle s'est adonnée à la mendicité. Les termes "devant le magasin C______" ne permettent pas de déterminer dans quel périmètre exact l'appelante était postée, à tout le moins ils n'autorisent pas à dire qu'elle se trouvait à moins d'un ou deux mètres de l'entrée de l'établissement concerné. Ces imprécisions empêchent le contrôle de l'application de la norme pénale cantonale et ne permettent pas d'apprécier le respect de l'exigence d'immédiateté des abords posée par la loi. Pour ce motif déjà, l'appel sera admis et l'acquittement de l'appelante sera prononcé.</w:t>
      </w:r>
    </w:p>
    <w:p>
      <w:r>
        <w:t>- 5/7 - P/23555/2024 Pour le surplus, on ignore – même s'il ressort du dossier que l'appelante avait déjà mendié par le passé et été punie en conséquence – si un avertissement lui a été donné, ce qui n'apparaît pas être le cas, puisqu'elle a été déclarée en contravention sur-le- champ. En conclusion, l'appel doit être admis.</w:t>
      </w:r>
    </w:p>
    <w:p>
      <w:r>
        <w:rPr>
          <w:b/>
        </w:rPr>
        <w:t>E. 3.1</w:t>
      </w:r>
    </w:p>
    <w:p>
      <w:r>
        <w:t>Selon l'art. 428 al. 1, première phrase, CPP, les frais de la procédure de recours sont mis à la charge des parties dans la mesure où elles ont obtenu gain de cause ou succombé.</w:t>
      </w:r>
    </w:p>
    <w:p>
      <w:r>
        <w:rPr>
          <w:b/>
        </w:rPr>
        <w:t>E. 3.2</w:t>
      </w:r>
    </w:p>
    <w:p>
      <w:r>
        <w:t>L'entier des frais de la procédure préliminaire, de première instance et d'appel sera laissé à la charge de l'État.</w:t>
      </w:r>
    </w:p>
    <w:p>
      <w:r>
        <w:rPr>
          <w:b/>
        </w:rPr>
        <w:t>E. 4.1</w:t>
      </w:r>
    </w:p>
    <w:p>
      <w:r>
        <w:t>À teneur de l'art. 429 CPP, le prévenu a droit, s'il est acquitté totalement ou en partie, à une indemnité fixée conformément au tarif des avocats pour les dépenses occasionnées par l'exercice raisonnable de ses droits de procédure (al. 1 let. a). L'autorité pénale examine d'office les prétentions du prévenu ; elle peut enjoindre à celui-ci de les chiffrer et de les justifier (al. 2). Lorsque le prévenu a chargé un défenseur privé de sa défense, celui-ci a un droit exclusif à l'indemnité prévue à l'al. 1, let. a, sous réserve de règlement de compte avec son client (al. 3).</w:t>
      </w:r>
    </w:p>
    <w:p>
      <w:r>
        <w:rPr>
          <w:b/>
        </w:rPr>
        <w:t>E. 4.2</w:t>
      </w:r>
    </w:p>
    <w:p>
      <w:r>
        <w:t>La décision sur les frais préjuge en principe de la question de l'indemnisation (ATF 144 IV 207 consid. 1.8.2 ; 137 IV 352 consid. 2.4.2). La Cour de justice applique au chef d'étude un tarif horaire maximal de CHF 400.- à CHF 450.- (arrêt du Tribunal fédéral 6B_1026/2013 du 10 juin 2014 consid. 4.5).</w:t>
      </w:r>
    </w:p>
    <w:p>
      <w:r>
        <w:rPr>
          <w:b/>
        </w:rPr>
        <w:t>E. 4.3</w:t>
      </w:r>
    </w:p>
    <w:p>
      <w:r>
        <w:t>Le principe d'une indemnité est acquis à l'appelante, vu le sort des frais. Son conseil n'ayant pas présenté de décompte de son activité, il sera statué ex aequo et bono sur la base des actes de procédures effectifs pour la procédure d'appel, étant rappelé qu'il a renoncé à faire valoir une indemnisation devant le premier juge.</w:t>
      </w:r>
    </w:p>
    <w:p>
      <w:r>
        <w:rPr>
          <w:b/>
        </w:rPr>
        <w:t>E. 4.4</w:t>
      </w:r>
    </w:p>
    <w:p>
      <w:r>
        <w:t>Pour la procédure devant la CPAR, l'activité de rédaction de l'annonce d'appel, de la déclaration et du mémoire d'appel sera indemnisée à hauteur de trois heures, étant précisé que le mémoire d'appel ne contient que cinq pages au total, en comptant la page de garde (une page), la reproduction du dispositif de première instance (quasiment une page) ainsi que les conclusions en appel (une demi-page, laissant quasiment une page vierge). Ainsi, une indemnité ex aequo et bono de CHF 1'200.- sera allouée à Me B______, correspondant à trois heures d'activité au tarif de CHF 400.-/heure, hors TVA, vu le domicile à l'étranger de l'appelante. * * * * *</w:t>
      </w:r>
    </w:p>
    <w:p>
      <w:r>
        <w:t>- 6/7 - P/23555/2024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