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AARP/282/2022 vom 19. September 2022</w:t>
      </w:r>
    </w:p>
    <w:p>
      <w:r>
        <w:t>GE Cour de justice, 2022-09-19, FR</w:t>
      </w:r>
    </w:p>
    <w:p>
      <w:r>
        <w:rPr>
          <w:b/>
        </w:rPr>
        <w:t xml:space="preserve">Quelle: </w:t>
      </w:r>
      <w:r>
        <w:t>https://mcp.opencaselaw.ch/entscheid/ge_gerichte_AARP_282_2022</w:t>
      </w:r>
    </w:p>
    <w:p>
      <w:r>
        <w:t>FR: GE_GERICHTE AARP/282/2022 du 19 septembre 2022</w:t>
      </w:r>
    </w:p>
    <w:p>
      <w:r>
        <w:t>IT: GE_GERICHTE AARP/282/2022 del 19 settembre 2022</w:t>
      </w:r>
    </w:p>
    <w:p>
      <w:pPr>
        <w:pStyle w:val="Heading2"/>
      </w:pPr>
      <w:r>
        <w:t>Erwägungen</w:t>
      </w:r>
    </w:p>
    <w:p>
      <w:r>
        <w:rPr>
          <w:b/>
        </w:rPr>
        <w:t>E. 1.1</w:t>
      </w:r>
    </w:p>
    <w:p>
      <w:r>
        <w:t>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w:t>
      </w:r>
    </w:p>
    <w:p>
      <w:r>
        <w:rPr>
          <w:b/>
        </w:rPr>
        <w:t>E. 1.2</w:t>
      </w:r>
    </w:p>
    <w:p>
      <w:r>
        <w:t>La Chambre pénale d'appel et de révision (CPAR) est l'autorité compétente en matière de révision (art. 21 al. 1 let. b du Code de procédure pénale [CPP] cum art. 130 al. 1 let. a de la loi d'organisation judiciaire [LOJ]).</w:t>
      </w:r>
    </w:p>
    <w:p>
      <w:r>
        <w:t>- 4/10 - P/22189/2018</w:t>
      </w:r>
    </w:p>
    <w:p>
      <w:r>
        <w:rPr>
          <w:b/>
        </w:rPr>
        <w:t>E. 1.3</w:t>
      </w:r>
    </w:p>
    <w:p>
      <w:r>
        <w:t>La demande de révision a été formée par devant l'autorité compétente et selon la forme prévue par la loi (art. 411 al. 1 CPP).</w:t>
      </w:r>
    </w:p>
    <w:p>
      <w:r>
        <w:rPr>
          <w:b/>
        </w:rPr>
        <w:t>E. 2.1</w:t>
      </w:r>
    </w:p>
    <w:p>
      <w:r>
        <w:t>L'art. 410 al. 1 let. a CPP reprend la double exigence posée par l'art. 385 du code pénal (CP), selon laquelle les faits ou moyens de preuve invoqués doivent être nouveaux et sérieux. Les faits ou moyens de preuve sont inconnus lorsque le juge n'en a pas eu connaissance au moment où il s'est prononcé, c'est-à-dire lorsqu'ils ne lui ont pas été soumis sous quelque forme que ce soit (ATF 137 IV 59 consid. 5.1.2 p. 66 ss). Pour que l'on puisse se convaincre qu'un élément de preuve ressortant du dossier est resté inconnu du juge, il faut tout d'abord que cet élément soit à ce point probant sur une question décisive, que l'on ne puisse imaginer que le juge ait statué dans le même sens s'il en avait pris connaissance. S'il y a matière à appréciation et discussion, cela exclut que l'inadvertance soit manifeste. Cette première condition ne suffit cependant pas, parce que cela permettrait de se plaindre en tout temps d'une appréciation arbitraire des preuves non explicitée. Il faut encore que des circonstances particulières montrent que cette situation est due à l'ignorance du moyen de preuve et non pas à l'arbitraire. Cette question doit être examinée de cas en cas, en tenant compte, non pas seulement de la teneur du jugement critiqué, mais de l'ensemble des circonstances, qui doivent faire apparaître à l'évidence que le juge n'a pas eu connaissance d'un moyen de preuve figurant à la procédure (ATF 122 IV 66 consid. 2b p. 69 ; arrêt du Tribunal fédéral 6B_731/2013 du 28 novembre 2013 consid. 3.1.2). Comme cela résulte du texte même de l'art. 410 al. 1 let. a CPP, la voie de la révision a uniquement pour but de réparer les erreurs de fait commises dans un jugement et qui sont à l'origine du verdict de culpabilité et/ou du prononcé d'une peine ou d'une mesure, à l'exclusion d'une erreur de droit, même grossière, qu'elle soit de fond ou de forme, qui n'est susceptible d'être éliminée que par les voies ordinaires de recours.</w:t>
      </w:r>
    </w:p>
    <w:p>
      <w:r>
        <w:rPr>
          <w:b/>
        </w:rPr>
        <w:t>E. 2.2</w:t>
      </w:r>
    </w:p>
    <w:p>
      <w:r>
        <w:t>La procédure de révision, prévue par les art. 410 et ss CPP, est classiquement divisée en deux phases. Dans une première phase, appelée le rescindant, la juridiction supérieure examine si les conditions nécessaires pour ouvrir une procédure de révision sont données. Lorsque la révision est accordée, au stade du rescindant, la cause est, en règle générale, renvoyée à une autre autorité pour qu'elle statue au fond au stade du rescisoire. Dans la seconde phase, appelée le rescisoire, le tribunal rejuge l'affaire en tenant compte des faits ou des moyens de preuve nouveaux (cf. art. 413 CPP; arrêts du Tribunal fédéral 6B_1062/2009 du 3 novembre 2010 consid. 2.2 non publié in ATF 137 IV 59 ; 6B_1986/2017 du 22 décembre 2017 consid. 1.1).</w:t>
      </w:r>
    </w:p>
    <w:p>
      <w:r>
        <w:rPr>
          <w:b/>
        </w:rPr>
        <w:t>E. 3</w:t>
      </w:r>
    </w:p>
    <w:p>
      <w:r>
        <w:t>La seule question soumise à la CPAR est celle de l’expulsion prononcée par le TCO.</w:t>
      </w:r>
    </w:p>
    <w:p>
      <w:r>
        <w:t>- 5/10 - P/22189/2018</w:t>
      </w:r>
    </w:p>
    <w:p>
      <w:r>
        <w:rPr>
          <w:b/>
        </w:rPr>
        <w:t>E. 3.1</w:t>
      </w:r>
    </w:p>
    <w:p>
      <w:r>
        <w:t>Conformément à l'art. 66a al. 1 CP, le juge expulse un étranger du territoire suisse pour une durée de cinq à quinze ans s'il est reconnu coupable de l'une des infractions énumérées aux let. a à o, également sous la forme de tentative (ATF 144 IV 168 consid. 1.4.1), notamment en cas de condamnation pour incendie intentionnel (let. i). Conformément à l'al. 2 de cette disposition, le juge peut exceptionnellement renoncer à une expulsion lorsque celle-ci mettrait l'étranger dans une situation personnelle grave et que les intérêts publics à l'expulsion ne l'emportent pas sur l'intérêt privé de l'étranger à demeurer en Suisse. Malgré la formulation potestative de la norme, le juge de l’expulsion est tenu d'examiner si les conditions de l'art. 66a al. 2 CP sont réalisées et de renoncer à ordonner l'expulsion dans cette hypothèse (ATF 144 IV 332 consid. 3.3 p. 339).</w:t>
      </w:r>
    </w:p>
    <w:p>
      <w:r>
        <w:rPr>
          <w:b/>
        </w:rPr>
        <w:t>E. 3.2</w:t>
      </w:r>
    </w:p>
    <w:p>
      <w:r>
        <w:t>Le juge de l'expulsion ne peut pas ignorer, dans l'examen du cas de rigueur, qui suppose une pesée globale des circonstances, celles qui s'opposeraient à l'expulsion parce qu'il en résulterait une violation des garanties du droit international, notamment le principe de non-refoulement (cf. art. 25 Cst. ; art. 5 al. 1 Loi sur l'asile [LAsi] ; art. 33 de la Convention du 28 juillet 1951 relative au statut des réfugiés ; art. 3 de la Convention du 10 décembre 1984 contre la torture et autres peines ou traitements cruels, inhumains ou dégradants), alors même que ces garanties sont encore expressément réservées par l'art. 66d al. 1 CP. Les éventuels obstacles à l'expulsion, au sens de l'art. 66d al. 1 CP, doivent déjà être pris en compte au moment du prononcé de l'expulsion, pour autant que ces circonstances soient stables et puissent être déterminées de manière définitive (arrêt du Tribunal fédéral 6B_38/2021 du 14 février 2022 consid. 5.5.). Aux termes de l'art. 66d al. 1 CP, l'exécution de l'expulsion obligatoire selon l'art. 66a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cette disposition ne s'applique pas au réfugié qui ne peut invoquer l'interdiction de refoulement prévue à l'art. 5 al. 2 LAsi (let. a); lorsque d'autres règles impératives du droit international s'opposent à l'expulsion (let. b). L'exception au principe de non-refoulement qui protège les réfugiés (art. 66d al. 1 let. a 2ème phrase CP) doit être interprétée restrictivement, l'auteur doit en particulier représenter un danger pour la collectivité du pays d'accueil (arrêt du Tribunal fédéral 6B_38/2021 susmentionné consid. 5.5.4 ; S. SCHLEGEL, Schweizerisches Strafgesetzbuch Handkommentar, 4ème éd. 2020, no 2 ad art. 66d). Seul un crime particulièrement grave autorise à passer outre le principe de non- refoulement. Une exception à ce principe ne se justifie en effet que lorsque l'auteur constitue un danger pour le public de l'État de refuge. Ce danger ne peut pas être admis sur la seule base de la condamnation pour des crimes particulièrement graves;</w:t>
      </w:r>
    </w:p>
    <w:p>
      <w:r>
        <w:t>- 6/10 - P/22189/2018 l'étranger doit encore présenter un risque de récidive concret, un risque uniquement abstrait ne suffisant pas (ATF 139 II 65 consid. 5.4 p. 74 et 6.4 p. 76 s.).</w:t>
      </w:r>
    </w:p>
    <w:p>
      <w:r>
        <w:rPr>
          <w:b/>
        </w:rPr>
        <w:t>E. 3.3</w:t>
      </w:r>
    </w:p>
    <w:p>
      <w:r>
        <w:t>En l’espèce, il est établi par la décision du SEM que le requérant est au bénéfice de la protection que confère le statut de réfugié et peut ainsi se prévaloir, notamment, du principe du non-refoulement. Ces deux éléments étaient inconnus des premiers juges, qui n’ont absolument pas examiné l’existence d’obstacles au prononcé de l’expulsion, le requérant s’étant abstenu de faire état devant eux de son (alors ancien) statut de réfugié. Au vu des critères posés par la jurisprudence rappelée ci-dessus, ces faits sont à n’en pas douter nouveaux et essentiels ; elles justifient donc d’admettre, au stade du rescindant, la demande de révision.</w:t>
      </w:r>
    </w:p>
    <w:p>
      <w:r>
        <w:rPr>
          <w:b/>
        </w:rPr>
        <w:t>E. 4.1</w:t>
      </w:r>
    </w:p>
    <w:p>
      <w:r>
        <w:t>Le principe du double degré de juridiction commanderait en principe de renvoyer la cause au TCO pour qu’il reprenne ab ovo l’examen de l’expulsion prononcée. Cela étant, l’art. 412 al. 2 let. b CPP permet à la juridiction d’appel de rendre elle-même une nouvelle décision si l’état du dossier le permet. Tel est le cas en l’espèce. En effet, les pièces produites établissent la nécessité d’une décision rapide, ce que commande également l’économie de procédure. Par ailleurs, le MP s’en est rapporté à justice et ne s’oppose ainsi pas aux conclusions, y-compris réformatoires, prises par le requérant.</w:t>
      </w:r>
    </w:p>
    <w:p>
      <w:r>
        <w:rPr>
          <w:b/>
        </w:rPr>
        <w:t>E. 4.2</w:t>
      </w:r>
    </w:p>
    <w:p>
      <w:r>
        <w:t>Le requérant a démontré par pièces avoir été au bénéfice du statut de réfugié jusqu’à ce qu’il y renonce. Il démontre également que cette renonciation est viciée et qu’en réalité, il est toujours réfugié et peut ainsi se prévaloir du droit à la protection.</w:t>
      </w:r>
    </w:p>
    <w:p>
      <w:r>
        <w:t>Il ressort par ailleurs de la procédure que les faits reprochés au requérant – des incendies – s’ils sont indubitablement graves, étaient en partie liés à ses troubles psychiques. Les incendies reprochés ont toujours visé des objets et non des immeubles et ont été occasionnés sur la voie publique. Ainsi, ils ne sauraient être concrètement qualifiés de particulièrement graves au sens de la jurisprudence évoquée ci-dessus, et ne permettent pas de passer outre le principe du non- refoulement.</w:t>
      </w:r>
    </w:p>
    <w:p>
      <w:r>
        <w:t>Il se justifie dès lors de faire droit aux conclusions du requérant et d’annuler l’expulsion prononcée par le jugement entrepris.</w:t>
      </w:r>
    </w:p>
    <w:p>
      <w:r>
        <w:rPr>
          <w:b/>
        </w:rPr>
        <w:t>E. 4.3</w:t>
      </w:r>
    </w:p>
    <w:p>
      <w:r>
        <w:t>Le présent arrêt sera communiqué aux autorités administratives. Il appartiendra en revanche au requérant de saisir celles-ci si elles ne devaient pas réexaminer d’office sa situation en matière de droit de séjour à réception de la présente décision. Il n’est pas de la compétence de la CPAR de saisir le SEM comme il le demande.</w:t>
      </w:r>
    </w:p>
    <w:p>
      <w:r>
        <w:t>- 7/10 - P/22189/2018</w:t>
      </w:r>
    </w:p>
    <w:p>
      <w:r>
        <w:rPr>
          <w:b/>
        </w:rPr>
        <w:t>E. 5</w:t>
      </w:r>
    </w:p>
    <w:p>
      <w:r>
        <w:t>La demande en révision étant admise, il ne sera pas perçu de frais (art. 428 CPP a contrario).</w:t>
      </w:r>
    </w:p>
    <w:p>
      <w:r>
        <w:rPr>
          <w:b/>
        </w:rPr>
        <w:t>E. 6.1</w:t>
      </w:r>
    </w:p>
    <w:p>
      <w:r>
        <w:t>Selon l'art. 135 al. 1 CPP, le défenseur d'office ou le conseil juridique gratuit (cf. art. 138 al. 1 CPP)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t>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(AARP/147/2016 du 17 mars 2016 consid. 7.3 ; AARP/302/2013 du 14 juin 2013 ; AARP/267/2013 du 7 juin 2013).</w:t>
      </w:r>
    </w:p>
    <w:p>
      <w:r>
        <w:rPr>
          <w:b/>
        </w:rPr>
        <w:t>E. 6.2</w:t>
      </w:r>
    </w:p>
    <w:p>
      <w:r>
        <w:t>L'activité consacrée aux conférences, audiences et autres actes de la procédure est majorée de 20% jusqu'à 30 heures de travail, décomptées depuis l'ouverture de la</w:t>
      </w:r>
    </w:p>
    <w:p>
      <w:r>
        <w:t>- 8/10 - P/22189/2018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L'assistance juridique est en règle générale octroyée avec effet au jour du dépôt de la requête (art. 5 al. 1 RAJ), sous réserve de démarches urgentes pour lesquelles le dépôt simultané d'une telle requête n'était – précisément au vu de l'urgence – pas possible (ATF 122 I 203 consid. 2f p. 208 s. ; arrêt du Tribunal fédéral 1B_205/2019 du 14 juin 2019 consid. 5). L'activité antérieure à la prise d'effet ou, au plus tard, à la nomination de l'avocat, n'est pas prise en charge par l'assistance juridique (AARP/379/2013 du 20 août 2013 ; AARP/437/2013 du 23 septembre 2013 ; AARP/465/2013 du 8 octobre 2013 ; AARP/546/2013 du 13 novembre 2013), de même que celle exercée entre deux nominations (AARP/440/2013 du 24 septembre 2013).</w:t>
      </w:r>
    </w:p>
    <w:p>
      <w:r>
        <w:rPr>
          <w:b/>
        </w:rPr>
        <w:t>E. 6.4</w:t>
      </w:r>
    </w:p>
    <w:p>
      <w:r>
        <w:t>Dans le cas des prévenus en détention provisoire, une visite par mois jusqu'au prononcé du jugement ou de l'arrêt cantonal est admise, indépendamment des besoins de la procédure, pour tenir compte de la situation particulière de la personne détenue (AARP/235/2015 du 18 mai 2015 ; AARP/480/2014 du 29 octobre 2014). Le temps considéré admissible pour les visites dans les établissements du canton est d'une heure et 30 minutes quel que soit le statut de l'avocat concerné, ce qui comprend le temps de déplacement (AARP/181/2017 du 30 mai 2017 consid. 8.2.2.2 et 8.3.5 ; cf. également Ordonnance de la Cour des plaintes du Tribunal pénal fédéral BB.2016.369 du 12 juillet 2017 consid. 4.2.4). Le régime applicable aux visites des clients en détention provisoire ne s'applique pas au détenu condamné, par exemple celui qui agit en révision ou plaide l'octroi de la libération conditionnelle, celui-ci ne se trouvant pas dans la situation particulière de la personne en détention préventive ; seules seront donc retenues la/les visite(s) effectivement nécessaire(s) à la procédure, telle la préparation de la demande de révision ou d'audiences (AARP/168/2016 du 26 avril 2016 consid. 4.2 et AARP/526/2015 du 7 décembre 2015 consid 4.3.1 [demande de libération conditionnelle] ; AARP/571/2014 du 29 décembre 2014 consid. 4.1.3 confirmé par la décision de la Cour des plaintes du Tribunal pénal fédéral BB.2015.8 du 21 juillet 2015 consid. 7.2 [demande de révision]).</w:t>
      </w:r>
    </w:p>
    <w:p>
      <w:r>
        <w:rPr>
          <w:b/>
        </w:rPr>
        <w:t>E. 6.5</w:t>
      </w:r>
    </w:p>
    <w:p>
      <w:r>
        <w:t>En l'occurrence il convient tout d’abord de relever que certaines opérations, telle la prise de connaissance du jugement du TAPEM ou la réunion de réseau à B______, sont étrangères à la présente procédure de révision et doivent ainsi être écartées.</w:t>
      </w:r>
    </w:p>
    <w:p>
      <w:r>
        <w:t>- 9/10 - P/22189/2018 Par ailleurs, la requête en révision a été déposée le 11 août 2022 ; aucune demande d’assistance judiciaire n’a été formulée précédemment, alors que le conseil du requérant fait état d’activités ayant débuté en février 2022 (si l’on excepte le jugement du TAPEM susmentionné) et que le droit cantonal permet de solliciter l’assistance juridique avant même d’introduire une demande (art. 63 LOJ). Il paraît dès lors difficile de rémunérer, au titre d’une demande d’assistance juridique formée en août 2022, une activité effectuée six mois auparavant. En tout état de cause, et quand bien même la présente procédure soulève des questions relativement inédites, l’activité déployée apparaît exagérée, notamment la durée de rédaction de la requête ainsi que les recherches juridiques qui n’ont en principe pas à être prises en compte au titre de l’assistance juridique. Seules seront dès lors retenues deux réunions d’une durée d’une heure et demie chacune avec le requérant, ce qui apparaît suffisant pour les besoins de la procédure de révision dans la mesure où le conseil constitué l’a été tout au long de la procédure et y-compris pour les décisions postérieures rendues par le TAPEM et connaissait donc les éléments du dossier. Les frais de déplacement ne seront pas pris en compte dans la mesure où ils sont inclus dans le forfait d’une heure et demie pour les entretiens dans un établissement de détention. La demande de révision elle-même sera indemnisée à raison de 15 heures d’activité pour sa rédaction, durée certes importante mais qui apparaît justifiée au vu de la nature de la cause. Les heures supplémentaires portées à l’état de frais seront écartées car exagérées.</w:t>
      </w:r>
    </w:p>
    <w:p>
      <w:r>
        <w:t>En conclusion, la rémunération sera arrêtée à CHF 2'558.95 correspondant à 18 heures d'activité au tarif de CHF 110.-/heure plus la majoration forfaitaire de 20% et l'équivalent de la TVA au taux de 7.7% en CHF 182.95. * * * * *</w:t>
      </w:r>
    </w:p>
    <w:p>
      <w:r>
        <w:t>- 10/10 - P/22189/2018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