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AARP/282/2016 vom 13. Juli 2016</w:t>
      </w:r>
    </w:p>
    <w:p>
      <w:r>
        <w:t>GE Cour de justice, 2016-07-13, FR</w:t>
      </w:r>
    </w:p>
    <w:p>
      <w:r>
        <w:rPr>
          <w:b/>
        </w:rPr>
        <w:t xml:space="preserve">Quelle: </w:t>
      </w:r>
      <w:r>
        <w:t>https://mcp.opencaselaw.ch/entscheid/ge_gerichte_AARP_282_2016</w:t>
      </w:r>
    </w:p>
    <w:p>
      <w:r>
        <w:t>FR: GE_GERICHTE AARP/282/2016 du 13 juillet 2016</w:t>
      </w:r>
    </w:p>
    <w:p>
      <w:r>
        <w:t>IT: GE_GERICHTE AARP/282/2016 del 13 luglio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le recours est recevable.</w:t>
      </w:r>
    </w:p>
    <w:p>
      <w:r>
        <w:t>- 5/7 - PM/672/2016</w:t>
      </w:r>
    </w:p>
    <w:p>
      <w:r>
        <w:rPr>
          <w:b/>
        </w:rPr>
        <w:t>E. 2.1</w:t>
      </w:r>
    </w:p>
    <w:p>
      <w:r>
        <w:t>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- 6/7 - PM/672/2016</w:t>
      </w:r>
    </w:p>
    <w:p>
      <w:r>
        <w:rPr>
          <w:b/>
        </w:rPr>
        <w:t>E. 2.3</w:t>
      </w:r>
    </w:p>
    <w:p>
      <w:r>
        <w:t>La condition objective de l'octroi de la libération conditionnelle est réalisée depuis le 6 juillet dernier. En ce qui concerne la condition subjective, il faut relativiser la portée des antécédents du recourant. Celui-ci n'avait en effet précédemment été condamné qu'à une reprise à une peine privative de liberté ferme, de courte durée. Il demeure donc plausible que la peine plus lourde qu'il purge actuellement déploie les effets dissuasifs attendus. De surcroît, cette précédente condamnation à une peine privative de liberté est ancienne et il est vrai que l'intéressé a su, pendant une période relativement longue, respecter l'injonction liée à l'octroi de la libération conditionnelle, pour un solde de peine de 30 jours. Le projet de départ pour les États-Unis ne paraît pas des plus réalistes. Il reste que l'intéressé devrait pouvoir être renvoyé dans son pays de naissance ou, s'il s'avérait qu'il n'y a pas eu de fausses déclarations aux autorités concernées, au Portugal. À cet égard, un doute est permis, nonobstant la condamnation définitive du mois de décembre 2014, le passeport n'ayant pas été saisi. Le risque de réitération spécifique d'infraction à la LStup parait ainsi contenu, sans pouvoir être totalement exclu, étant aussi observé que le recourant n'est pas un criminel invétéré, le seuil conduisant à l'application de l'art. 19 al. 2 LStup n'ayant été dépassé que de peu lors de la condamnation à l'origine de la présente procédure, d'où une peine de 15 mois qui sanctionnait aussi le séjour illégal. Dans ces circonstances, il convient de laisser une dernière chance à l'intéressé, raison pour laquelle le recours sera admis et la mesure requise octroyée. * * * * *</w:t>
      </w:r>
    </w:p>
    <w:p>
      <w:r>
        <w:t>- 7/7 - PM/672/2016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