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AARP/281/2016 vom 11. Juli 2016</w:t>
      </w:r>
    </w:p>
    <w:p>
      <w:r>
        <w:t>GE Cour de justice, 2016-07-11, FR</w:t>
      </w:r>
    </w:p>
    <w:p>
      <w:r>
        <w:rPr>
          <w:b/>
        </w:rPr>
        <w:t xml:space="preserve">Quelle: </w:t>
      </w:r>
      <w:r>
        <w:t>https://mcp.opencaselaw.ch/entscheid/ge_gerichte_AARP_281_2016</w:t>
      </w:r>
    </w:p>
    <w:p>
      <w:r>
        <w:t>FR: GE_GERICHTE AARP/281/2016 du 11 juillet 2016</w:t>
      </w:r>
    </w:p>
    <w:p>
      <w:r>
        <w:t>IT: GE_GERICHTE AARP/281/2016 del 11 luglio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en l'occurrence (art. 399 al. 4 CPP) : la question de la culpabilité (let. a) et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2.1.1.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du Tribunal fédéral 6B_1067/2015 du 1er juin 2016 consid. 6.1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(arrêt du Tribunal fédéral 6B_1067/2015 ibidem). 2.1.2. Les réquisitions de preuves devant la juridiction d'appel doivent en principe être formulées dans la déclaration d'appel (art. 399 al. 3 let. c CPP ; arrêt du Tribunal fédéral 6B_4/2016 du 2 mai 2016 consid. 3.2. et les références citées). Une dérogation à cette règle doit être admise lorsque l'appelant établit qu'il n'était pas en mesure de formuler la réquisition de preuve lors de l'établissement dudit acte, notamment parce que la preuve n'est apparue que postérieurement au dépôt de la déclaration d'appel.</w:t>
      </w:r>
    </w:p>
    <w:p>
      <w:r>
        <w:rPr>
          <w:b/>
        </w:rPr>
        <w:t>E. 2.2</w:t>
      </w:r>
    </w:p>
    <w:p>
      <w:r>
        <w:t>En l'espèce, l'appelant n'a formulé aucune réquisition de preuve dans sa déclaration d'appel. Se pose ainsi la question de la recevabilité du chargé qu'il a</w:t>
      </w:r>
    </w:p>
    <w:p>
      <w:r>
        <w:t>- 8/12 - P/847/2013 produit lors des débats d'appel. Elle peut cependant rester ouverte. En effet, les pièces produites se réfèrent aux mêmes messages que ceux contenus dans le procès- verbal d'huissier du 1er août 2013, mais extraits du téléphone de l'appelant. Ces éléments étant déjà installés à la procédure, la requête de la défense sera dès lors rejetée et les pièces litigieuses classées dans une cote séparée pour permettre, cas échéant, le contrôle ultérieur de la présente décision.</w:t>
      </w:r>
    </w:p>
    <w:p>
      <w:r>
        <w:rPr>
          <w:b/>
        </w:rPr>
        <w:t>E. 3.1</w:t>
      </w:r>
    </w:p>
    <w:p>
      <w:r>
        <w:t>Selon l'art. 15 CP, quiconque, de manière contraire au droit, est attaqué ou menacé d'une attaque imminente a le droit de repousser l'attaque par des moyens proportionnés aux circonstances. La légitime défense suppose une attaque, c'est-à- 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du Tribunal fédéral 6B_600/2014 du 23 janvier 2015 consid. 5.1 non publié in ATF 141 IV 61 ; ATF 106 IV 12 consid. 2a p. 14).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arrêt du Tribunal fédéral 6B_946/2014 du 7 octobre 2015 consid. 2.2). D'un point de vue subjectif, la légitime défense implique que l'auteur agisse dans le but de se défendre contre une attaque (K. SEELMANN, Strafrecht : Allgemeiner Teil, 5e éd., Bâle 2012, p. 79 ; G. STRATENWERTH, Schweizerisches Strafrecht, Allgemeiner Teil I : Die Straftat, 4e éd., Berne 2011, § 10 n. 83).</w:t>
      </w:r>
    </w:p>
    <w:p>
      <w:r>
        <w:rPr>
          <w:b/>
        </w:rPr>
        <w:t>E. 3.2</w:t>
      </w:r>
    </w:p>
    <w:p>
      <w:r>
        <w:t>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w:t>
      </w:r>
    </w:p>
    <w:p>
      <w:r>
        <w:t>- 9/12 - P/847/2013 G. PIQUEREZ / A. MACALUSO, Procédure pénale suisse, 3e éd., Genève 2011, n. 555). 3.3.1. L'appelant ne conteste, à juste titre, ni être l'auteur des lésions infligées à l'intimé ni leur qualification en lésions corporelles simples de sorte que ces points ne seront pas examinés. La seule question litigieuse consiste dès lors à déterminer si l'appelant peut se prévaloir d'un fait justificatif, soit qu'il a agi dans un mouvement de défense. 3.3.2. Assurément, il convient d'appréhender avec une certaine retenue les déclarations de C______ et de D______, exposées toutes deux à d'évidents conflits de loyauté. En effet, elles sont toutes deux employées par l'intimé, la première étant en outre son actuelle compagne et l'ex-femme de l'appelant. Ce nonobstant, leurs déclarations doivent être tenues pour crédibles. En effet, outre qu'elles se recoupent, entre elles et avec les explications de l'intimé sur des éléments essentiels (cf. infa consid. 3.3.3), elles dressent un tableau nettement plus plausible et cohérent que celui que veut dépeindre l'appelant. Il ne ressort en effet pas de la procédure que l'intimé se trouvait dans un état d'énervement particulier où il aurait décidé de s'en prendre physiquement à son concurrent. Le prévenu n'a d'ailleurs émis l'hypothèse du caractère belligérant de l'intervention de l'intimé que tardivement. A l'inverse, les photographies présentes à la procédure laissent à penser que l'état émotif de l'appelant était manifestement instable, ce qui donne du crédit aux explications de C______ sur la situation de leur couple. 3.3.3. L'appelant n'est pas crédible lorsqu'il affirme qu'il a croisé l'intimé, un tournevis dans la main, à la sortie de l'ascenseur, dès lors que l'autre protagoniste et la voisine ont rapporté que l'altercation avait eu lieu sur le pas de la porte de l'appelant. Ses explications relatives au déroulement de l'altercation ne convainquent guère plus. En effet, rien n'établit que l'intimé se soit servi de son tournevis pour agresser l'appelant. La voisine de palier n'a pas vu d'outil et l'appelant a relaté à son épouse après l'altercation que le tournevis était tombé de la poche de son amant, ce qui conforte la version du plaignant. Du reste, les griffures et l'hématome subis par l'appelant sont peu compatibles avec des marques nettement plus profondes que laisserait un coup, même esquivé, donné avec un tournevis. Il n'apparaît pas non plus que l'intimé ait pris l'initiative de l'empoignade, ayant en premier été repoussé vers le sol par l'appelant. Quant à la fin de l'altercation, l'appelant ne peut davantage être suivi puisque le témoin D______ affirme avec l'intimé que celui-ci est parti calmement dès qu'elle le lui a demandé. 3.3.4. Au vu de ce qui précède, la CPAR ne peut que constater que l'appelant ne parvient pas à rendre vraisemblable que les lésions infligées à l'intimé résultent de gestes de défense. L'intéressé ne pouvant donc se prévaloir d'un quelconque fait justificatif, sa culpabilité du chef de lésions corporelles simples sera confirmée. Pour</w:t>
      </w:r>
    </w:p>
    <w:p>
      <w:r>
        <w:t>- 10/12 - P/847/2013 le surplus, la culpabilité de l'appelant n'est pas de peu d'importance. Il est partant exclu de renoncer à le poursuivre, étant précisé que la crainte de perdre son emploi à la suite d'une inscription au casier judiciaire n'est pas prévu par les art. 8 al. 1 CPP cum 52 à 54 CP.</w:t>
      </w:r>
    </w:p>
    <w:p>
      <w:r>
        <w:rPr>
          <w:b/>
        </w:rPr>
        <w:t>E. 4.1</w:t>
      </w:r>
    </w:p>
    <w:p>
      <w:r>
        <w:t>L'art.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 type de peine et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6B_649/2015 du 4 mai 2016 consid. 3.2.1 et les références citées).</w:t>
      </w:r>
    </w:p>
    <w:p>
      <w:r>
        <w:rPr>
          <w:b/>
        </w:rPr>
        <w:t>E. 4.2</w:t>
      </w:r>
    </w:p>
    <w:p>
      <w:r>
        <w:t>L'appelant ne conteste en soi pas la peine, sinon qu'il conclut à son acquittement. Le sursis lui est acquis et le type de sanction prononcée, soit une peine pécuniaire, est adéquat. Par ailleurs, la quotité de la peine résulte d'une correcte application des critères de l'art. 47 CP, de sorte que la peine prononcée par le Tribunal de police sera confirmée.</w:t>
      </w:r>
    </w:p>
    <w:p>
      <w:r>
        <w:rPr>
          <w:b/>
        </w:rPr>
        <w:t>E. 5</w:t>
      </w:r>
    </w:p>
    <w:p>
      <w:r>
        <w:t>Vu l'issue de la procédure, les prétentions en indemnisation formulées par l'appelant sont infondées et seront donc rejetées (art. 429 CPP).</w:t>
      </w:r>
    </w:p>
    <w:p>
      <w:r>
        <w:rPr>
          <w:b/>
        </w:rPr>
        <w:t>E. 6</w:t>
      </w:r>
    </w:p>
    <w:p>
      <w:r>
        <w:t>L'appelant, qui succombe, supportera les frais de la procédure envers l'Etat (art. 428 CPP), qui comprennent, dans leur totalité, un émolument de jugement de CHF 2'000.- (art. 14 al. 1 let. e du Règlement fixant le tarif des frais en matière pénale du 22 décembre 2010 [RTFMP ; E 4 10.03]). * * * * *</w:t>
      </w:r>
    </w:p>
    <w:p>
      <w:r>
        <w:t>- 11/12 - P/847/2013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