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AARP/27/2021 vom 8. Februar 2021</w:t>
      </w:r>
    </w:p>
    <w:p>
      <w:r>
        <w:t>GE Cour de justice, 2021-02-08, FR</w:t>
      </w:r>
    </w:p>
    <w:p>
      <w:r>
        <w:rPr>
          <w:b/>
        </w:rPr>
        <w:t xml:space="preserve">Quelle: </w:t>
      </w:r>
      <w:r>
        <w:t>https://mcp.opencaselaw.ch/entscheid/ge_gerichte_AARP_27_2021</w:t>
      </w:r>
    </w:p>
    <w:p>
      <w:r>
        <w:t>FR: GE_GERICHTE AARP/27/2021 du 8 février 2021</w:t>
      </w:r>
    </w:p>
    <w:p>
      <w:r>
        <w:t>IT: GE_GERICHTE AARP/27/2021 del 8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w:t>
      </w:r>
    </w:p>
    <w:p>
      <w:r>
        <w:t>- 5/14 - P/21935/2018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142 IV 93 consid. 3.1 p. 96).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p. 136 ; arrêts du Tribunal fédéral 6B_1300/2016 du 5 décembre 2017 consid. 2.1.2 non publié aux ATF 143 IV 500 ;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w:t>
      </w:r>
    </w:p>
    <w:p>
      <w:r>
        <w:t>- 6/14 - P/21935/2018 Le Tribunal fédéral a confirmé la qualification de violation simple des règles de la circulation routière dans le cas d'un homme qui, circulant en voiture dans des conditions de visibilité difficiles, dès lors qu'il faisait nuit et que la route était glissante, a percuté un piéton traversant sur le passage clouté, lui causant une fracture du bassin ainsi que des blessures au genou et à la tête. D'un point de vue subjectif, et se fondant sur l'intention du prévenu de conduire prudemment, ainsi que sur son comportement après la collision et sa vitesse réduite, le Tribunal fédéral a confirmé qu'il ne pouvait lui être reproché un comportement sans scrupule ou gravement contraire aux règles de la circulation au sens de l'art. 90 al. 2 LCR (arrêt du Tribunal fédéral 6B_835/2010 du 16 novembre 2010 consid. 5.3.2). Le Tribunal fédéral est parvenu à la même conclusion dans le cas d'un homme ayant ignoré le droit de passage d'un piéton se trouvant sur un passage clouté, dans le parking d'un centre commercial. D'un point de vue subjectif, il a considéré que le fait que le conducteur n'ait pas vu le piéton à temps alors qu'il en aurait eu la possibilité, de même que le fait que des piétons devaient être attendus à tout moment sur un passage pour piétons situé devant l'entrée d'un magasin, ne suffisaient pas à établir l'existence d'une violation grave des règles de la circulation routière, dès lors que l'homme roulait au rythme de la marche et qu'il n'y avait aucune autre circonstance aggravante (arrêt du Tribunal fédéral 6B_1174/2013 du 14 mai 2014 consid. 3.4). 2.2.2. Chacun doit se comporter, dans la circulation, de manière à ne pas gêner ni mettre en danger ceux qui utilisent la route conformément aux règles établies (art. 26 al. 1 LCR).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[OCR]).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115 II 283 consid. 1a p. 285). La prudence particulière exigée par l'art. 33 al. 2 LCR s'étend également aux abords du passage de sécurité (arrêts du Tribunal fédéral 6B_929/2017du 19 mars 2018 consid. 1.2.1 ;</w:t>
      </w:r>
    </w:p>
    <w:p>
      <w:r>
        <w:t>- 7/14 - P/21935/2018 6S_96/2006 du 3 avril 2006 consid. 2.2 = JT 2006 I 439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Le devoir de prudence du conducteur ne disparaît pas même à l'égard d'un piéton qui s'élance sur un passage piéton de manière contraire aux règles (arrêts du Tribunal fédéral 6B_250/2012 du 1er novembre 2012 consid. 3.2.2 ; 6B_922/2008 du 2 avril 2009 consid. 3.4). Selon l'art. 26 al. 2 LCR, une prudence particulière s'impose à l'égard des enfants, des infirmes et des personnes âgées, de même s'il apparaît qu'un usager de la route va se comporter de manière incorrecte (ATF 129 IV 282 consid. 2.2.1 p. 285 ; 115 IV 239 consid. 2 p. 239 s.). 2.2.3. Les règles prescrites à l'art. 33 al. 2 et 3 LCR constituent en principe des règles fondamentales de la circulation, dont la violation tombe généralement sous le coup de l'art. 90 al. 2 LCR, sous réserve des circonstances concrètes du cas d'espèce (A. BUSSY / B. RUSCONI et al., Code suisse de la circulation routière : commentaire, 4ème éd., Lausanne 2015, N 2.9 ad. art. 33 ; arrêt du Tribunal fédéral 6S_265/22005 du 1er décembre 2005). 2.2.4.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 du Tribunal fédéral 6B_69/2017 du 28 novembre 2017 consid. 2.3.2).</w:t>
      </w:r>
    </w:p>
    <w:p>
      <w:r>
        <w:rPr>
          <w:b/>
        </w:rPr>
        <w:t>E. 2.3</w:t>
      </w:r>
    </w:p>
    <w:p>
      <w:r>
        <w:t>En l'espèce, l'appelante soutient que le groupe de personnes se trouvant sur le trottoir ne bougeait pas et n'avait pas manifesté la volonté de traverser lorsqu'elle a redémarré son véhicule. Cette version est toutefois contredite par ses premières déclarations à la police, selon lesquelles elle aurait estimé avoir le temps de passer pendant que le groupe s'organisait. Elle se heurte par ailleurs aux dires du témoin, qui</w:t>
      </w:r>
    </w:p>
    <w:p>
      <w:r>
        <w:t>- 8/14 - P/21935/2018 a clairement indiqué que le groupe était positionné et avait amorcé sa traversée du passage pour piétons lorsque l'appelante a redémarré son véhicule. Le fait que le groupe ait laissé passer le véhicule circulant juste devant celui de l'appelante ne fait que confirmer cette configuration. Considérant en outre que C______, qui avait donné le signal au groupe de traverser, a elle-même dû faire un pas en arrière et retenir la dame se trouvant à ses côtés, il apparaît clairement que l'appelante n'a pas prêté l'attention nécessaire aux circonstances et qu'elle s'est engagée sur le passage pour piétons en manquant d'accorder la priorité aux piétons, alors qu'elle en avait la possibilité, dès lors qu'elle roulait à une faible vitesse, voire était arrêtée. Il convient encore de relever que compte tenu des circonstances, rien ne permet de considérer que B______ se serait précipité sur la route. En tout état, et quand bien même celui- ci aurait adopté une démarche vive en s'engageant sur le passage pour piétons, son comportement n'était pas si extraordinaire et imprévisible que l'appelante n'aurait pu s'y attendre. L'appelante ne peut davantage être suivie en tant qu'elle affirme n'avoir constaté que postérieurement à l'accident que les membres du groupe – et a fortiori la victime – souffraient d'un handicap mental. Outre le fait qu'elle ait elle-même affirmé, lors de sa première audition, avoir clairement constaté la présence d'un groupe composé de personnes handicapées sur le trottoir, C______ a indiqué que les caractéristiques du groupe étaient aisément reconnaissables, dès lors que plusieurs de ses membres étaient atteints de trisomie. Les déclarations de l'appelante, intervenues à un stade ultérieur de la procédure, selon lesquelles les personnes présentes sur le trottoir s'apparentaient à un groupe de touristes, semblent ainsi purement dictées par les besoins de la cause et ne convainquent pas, étant au surplus relevé que la présence de touristes dans le quartier commercial et industriel où se sont produits les faits serait pour le moins incongrue. Ainsi, la Cour a acquis la conviction que l'appelante, bien qu'elle ait maîtrisé l'allure de son véhicule au sortir du giratoire, s'est engagée sur le passage pour piétons en omettant d'accorder la priorité au groupe de personnes handicapées qui se trouvait à son abord, prêt à traverser, dont elle avait pourtant préalablement constaté la présence, ce qui commandait de faire preuve d'une prudence accrue. L'appelante a clairement violé les devoirs d'attention et de prudence qui lui incombaient, découlant des art. 26 al. 1 et 33 al. 2 LCR. Ce faisant, elle a violé des règles fondamentales de la circulation routière, dont le non-respect a créé un danger sérieux pour la victime, qui a été blessée. Son manque de prudence relève d'une négligence grossière. En effet, le fait d'être attentif aux abords d'un passage pour piétons, sensé sécuriser leur traversée, et de ralentir suffisamment, voire de s'arrêter si les caractéristiques de l'usager laissent présager un comportement imprévisible, constitue un devoir élémentaire, que l'appelante n'a pas respecté, étant précisé qu'une prudence particulière s’imposait en l'espèce considérant le handicap de la victime (art. 26 al. 2 LCR). Le fait de rouler à une faible vitesse n'était en l'occurrence pas</w:t>
      </w:r>
    </w:p>
    <w:p>
      <w:r>
        <w:t>- 9/14 - P/21935/2018 suffisant eu égard aux circonstances pour respecter son devoir de prudence. Pour preuve, cela n'a manifestement pas permis d'éviter l'accident. Considérant l'absence de circonstances particulières du cas d'espèce faisant apparaître le comportement de l'appelante sous un jour plus favorable, et au vu du caractère objectivement grave de la violation des règles de la circulation routière en cause, l'absence de scrupules doit être retenue, quand bien même il s'agit d'un cas limite, de sorte qu'une violation simple des règles de la circulation routière ne saurait entrer en ligne de compte. Partant, l'appelante sera reconnue coupable de violation grave des règles de la circulation routière, au sens de l'art. 90 al. 2 LCR.</w:t>
      </w:r>
    </w:p>
    <w:p>
      <w:r>
        <w:rPr>
          <w:b/>
        </w:rPr>
        <w:t>E. 3</w:t>
      </w:r>
    </w:p>
    <w:p>
      <w:r>
        <w:t>3.1.1. L'infraction à l'art. 90 al. 2 LCR est passible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w:t>
      </w:r>
    </w:p>
    <w:p>
      <w:r>
        <w:t>- 10/14 - P/21935/2018 en tenant compte de son revenu et de sa fortune, de son mode de vie, de ses obligations d'assistance, en particulier familiales, et du minimum vital (al. 2). 3.1.4. Aux termes de l'art. 42 al. 1 CP, le juge suspend en règle générale l'exécution d'une peine pécuniaire ou d'une peine privative de liberté de deux ans au plus lorsqu'une peine ferme ne paraît pas nécessaire pour détourner l'auteur d'autres crimes ou délits. 3.1.5.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(arrêts du Tribunal fédéral 6B_952/2016 du 29 août 2017 consid. 3.1 ; 6B_835/2018 du 8 novembre 2018 consid. 3.2 et les références citées).</w:t>
      </w:r>
    </w:p>
    <w:p>
      <w:r>
        <w:rPr>
          <w:b/>
        </w:rPr>
        <w:t>E. 3.2</w:t>
      </w:r>
    </w:p>
    <w:p>
      <w:r>
        <w:t>En l'espèce, la faute de l'appelante est moyenne. Elle a certes fait preuve d'inattention et d'un manque de prudence, aux abords d'un passage pour piétons, qui ont conduit à un accident, à l'occasion duquel un piéton a été blessé. Cela étant, elle a ralenti au sortir du giratoire et roulait très lentement, voire s'est arrêtée avant de redémarrer, ce qui a notamment permis de prévenir la survenance de lésions plus graves que celles subies par la victime. Sa collaboration n'a pas été bonne, dès lors qu'elle a varié dans ses déclarations, niant toute responsabilité, puis la relativisant au stade de l'appel. Sa prise de conscience n’est pas aboutie, celle-ci ayant persisté à reporter la faute sur la victime, bien qu'admettant en appel une part de responsabilité. Il sera cependant relevé que quand bien même l'appelante n'a pas formellement exprimé de regrets envers la victime, elle s'est enquise de son état en lui rendant visite à son domicile, preuve qu'elle n'est pas insensible aux conséquences de ses actes. Pour le surplus, sa situation personnelle n'explique en rien ses agissements et l'absence d'antécédent a un effet neutre sur la fixation de la peine. Au vu des éléments qui précèdent, la peine pécuniaire de 45 jours-amende fixée par le premier juge apparaît justifiée et proportionnée et devra partant être confirmée.</w:t>
      </w:r>
    </w:p>
    <w:p>
      <w:r>
        <w:t>- 11/14 - P/21935/2018 Le montant du jour-amende, arrêté à CHF 30.-, est adéquat au regard de sa situation économique. L'octroi du sursis et la durée du délai d'épreuve de trois ans, non contestés en appel, sont acquis à l'appelante (art. 391 al. 2 CPP). Pour le surplus, le prononcé d'une sanction immédiate ne prête pas flanc à la critique, dès lors que si la prise de conscience de l'appelante semble amorcée, celle-ci persiste à contester la gravité de sa faute. Une telle sanction semble ainsi justifiée pour favoriser son amendement et la sensibiliser quant à son comportement. La quotité de l'amende prononcée par le premier juge apparaît adéquate et en relation avec la situation personnelle de l'appelante, de sorte qu'elle sera confirmée. Partant, le jugement entrepris sera intégralement confirmé.</w:t>
      </w:r>
    </w:p>
    <w:p>
      <w:r>
        <w:rPr>
          <w:b/>
        </w:rPr>
        <w:t>E. 4</w:t>
      </w:r>
    </w:p>
    <w:p>
      <w:r>
        <w:t>L'appelante, qui succombe, supportera les frais de la procédure envers l'Etat (art. 428 CPP).</w:t>
      </w:r>
    </w:p>
    <w:p>
      <w:r>
        <w:rPr>
          <w:b/>
        </w:rPr>
        <w:t>E. 5</w:t>
      </w:r>
    </w:p>
    <w:p>
      <w:r>
        <w:t>L'appelante, qui échoue à faire modifier le jugement entrepris, sera déboutée de ses conclusions en indemnisation (art. 429 CPP). * * * * *</w:t>
      </w:r>
    </w:p>
    <w:p>
      <w:r>
        <w:t>- 12/14 - P/21935/2018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