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AARP/278/2020 vom 22. Juli 2020</w:t>
      </w:r>
    </w:p>
    <w:p>
      <w:r>
        <w:t>GE Cour de justice, 2020-07-22, FR</w:t>
      </w:r>
    </w:p>
    <w:p>
      <w:r>
        <w:rPr>
          <w:b/>
        </w:rPr>
        <w:t xml:space="preserve">Quelle: </w:t>
      </w:r>
      <w:r>
        <w:t>https://mcp.opencaselaw.ch/entscheid/ge_gerichte_AARP_278_2020</w:t>
      </w:r>
    </w:p>
    <w:p>
      <w:r>
        <w:t>FR: GE_GERICHTE AARP/278/2020 du 22 juillet 2020</w:t>
      </w:r>
    </w:p>
    <w:p>
      <w:r>
        <w:t>IT: GE_GERICHTE AARP/278/2020 del 22 luglio 2020</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Chambre limite son examen aux violations décrites dans l'acte d'appel (art. 404 al. 1 CPP), sauf en cas de décisions illégales ou inéquitables (art. 404 al. 2 CPP).</w:t>
      </w:r>
    </w:p>
    <w:p>
      <w:r>
        <w:rPr>
          <w:b/>
        </w:rPr>
        <w:t>E. 2</w:t>
      </w:r>
    </w:p>
    <w:p>
      <w:r>
        <w:t>2.1.1. Conformément à l’art. 143 al. 1 let. c CPP, au début de son audition, le comparant est, dans une langue qu’il comprend, avisé de façon complète sur ses droit et obligations.</w:t>
      </w:r>
    </w:p>
    <w:p>
      <w:r>
        <w:t>2.1.2. Au début de la première audition, la police ou le MP informent le prévenu, notamment qu'il a le droit de faire appel à un défenseur ou de demander un défenseur d'office (art. 158 al. 1 let. c CPP). Les auditions effectuées sans que ces informations n’aient été données ne sont pas exploitables.</w:t>
      </w:r>
    </w:p>
    <w:p>
      <w:r>
        <w:t>2.1.3.1. En outre, l'art. 159 CPP fonde le droit du prévenu à la présence et à la participation de son défenseur ou, en d'autres termes, à un "avocat de la première heure" (L. MOREILLON / A. PAREIN-REYMOND, Petit commentaire CPP, 2ème éd., Bâle, 2016, n. 2 ad art. 159 CPP).</w:t>
      </w:r>
    </w:p>
    <w:p>
      <w:r>
        <w:t>2.1.3.2. Le prévenu a le droit de demander l'avocat de son choix, s'il en connaît un ; ce n'est que dans le cas où cet avocat est inatteignable que la police doit lui proposer une solution alternative comme la permanence (L. MOREILLON / A. PAREIN- REYMOND, Petit commentaire CPP, 2ème éd., Bâle 2016, n. 9 ad art. 159 et les références citées).</w:t>
      </w:r>
    </w:p>
    <w:p>
      <w:r>
        <w:t>2.1.3.3. Si le prévenu a le droit de se faire assister de son défenseur, il ne peut toutefois pas solliciter, en vertu de l'art. 159 al. 3 CPP, un ajournement de l'audition. Le sens de cette disposition est de rappeler qu'en cas d'arrestation, les autorités de poursuite sont tenues à des délais stricts, notamment celui de 24 heures pour l'arrestation provisoire, et qu'il n'est ainsi pas envisageable d'attendre le lendemain, la fin du week-end ou la fin du</w:t>
      </w:r>
    </w:p>
    <w:p>
      <w:r>
        <w:t>- 10/26 - P/7728/2018 procès que plaide l'avocat choisi pour que l'audition puisse se tenir (Y. JEANNERET / A. KUHN / C. PERRIER DEPEURSINGE (éds), Commentaire romand : Code de procédure pénale suisse, 2ème éd., Bâle 2019, n. 30 ad art. 159). L'on attend ainsi de la police qu'elle tâche de contacter l'avocat dont l'assistance est requise par le prévenu par téléphone ou télécopie en cas d'absence. Si l'avocat en question est injoignable, la police doit l'indiquer au prévenu ainsi que la cause de l'impossibilité si elle est connue ou peut facilement être supputée. Si le prévenu maintient son souhait de n'être défendu que par un avocat précis, il doit supporter les conséquences d'une absence ou d'une arrivée tardive de celui-ci (Y. JEANNERET / A. KUHN / C. PERRIER DEPEURSINGE (éds), Commentaire romand : Code de procédure pénale suisse, 2ème éd., Bâle 2019, n. 29 ad art. 159).</w:t>
      </w:r>
    </w:p>
    <w:p>
      <w:r>
        <w:rPr>
          <w:b/>
        </w:rPr>
        <w:t>E. 2.2</w:t>
      </w:r>
    </w:p>
    <w:p>
      <w:r>
        <w:t>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6B_55/2018 du 17 mai 2018 consid. 1.1). Le rapport de police est un document "neutre et impartial" (arrêt du Tribunal fédéral 6B_48/2016 du 17 mai 2016 consid. 2.1). Ainsi, le rapport de police constituant un moyen de preuve, les conditions de l’art. 141 CPP doivent être remplies pour qu’un tel document puisse être écarté de la procédure. 2.3.1. En l’espèce, il convient tout d’abord de relever que tout indique, contrairement à ce qu’allègue l’appelant, qu’il a dûment été informé de son droit à faire appel à un défenseur, la police ayant tenté à plusieurs reprises de contacter son avocat, si bien qu’aucune violation des art. 143 et 158 CPP ne peut être retenue. Alors que son propre conseil demeurait injoignable malgré plusieurs tentatives de contact par la police et que l'appelant en avait été dûment informé, celui-ci n’a jamais indiqué souhaiter qu’un autre avocat puisse l’assister. Devant le MP, il a d'ailleurs expressément requis la présence de son conseil désigné et non celle d’un autre défenseur, alors même que le call center de la permanence des avocats était évoqué. Par ailleurs, contrairement au cas visé dans l’arrêt de la CEDH cité dans son mémoire d’appel, l'appelant a refusé de s'exprimer, si bien que les procès-verbaux desdites auditions ne contiennent aucun élément à charge ou à décharge susceptibles d'influer sur le sort de la cause. Au regard de ce qui précède, l’appelant ne saurait se prévaloir d’un intérêt juridique à ce que ces procès-verbaux soient écartés de la procédure, si bien que tel ne sera pas le cas.</w:t>
      </w:r>
    </w:p>
    <w:p>
      <w:r>
        <w:t>- 11/26 - P/7728/2018 2.3.2. Le rapport de police décrivant le déroulement de l’interpellation du prévenu ne saurait non plus être écarté au motif que l’avocat de la première heure n’était pas présent dès lors que l’art. 159 CPP ne saurait s'appliquer à ce stade. S’ajoute à cela qu’il contient des éléments objectifs dont rien ne permet de douter et qu’il n’a pas été rédigé en violation des art. 140 et 141 CPP, ce qui est également le cas du rapport se rapportant aux faits constatés durant l’arrestation provisoire de l’appelant. Partant, les rapports de police précités seront maintenus au dossier.</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w:t>
      </w:r>
    </w:p>
    <w:p>
      <w:r>
        <w:t>- 12/26 - P/7728/2018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3.1.2. S'agissant des faits, la CPAR retient les suivants qu'elle considère comme établis : Le 20 septembre 2015, vers 01h45, A______ a attiré l'attention d'une patrouille de la police municipale en raison du fait qu'une partie du pare-chocs avant du véhicule qu'il conduisait traînait au sol. Il n'est pas exclu qu'il n'ait pas remarqué le signe manuel de l'agent C______ lui intimant l'ordre de s'arrêter. Par contre, il a bien pris conscience de l'intervention de la police municipale lorsque cette dernière lui a demandé, alors qu'il était immobilisé à la phase rouge du feu de signalisation situé à l'angle de la place du Rhône et du quai du Général-Guisan, de s'arrêter à proximité du Jardin Anglais sur les cases réservées aux cars, dès lors qu'il s'y est effectivement rendu après le passage à la phase verte du signal précité. Après un bref arrêt, il est toutefois reparti en direction de la rue du Mont-Blanc et a bifurqué dans le square du même nom. Le rapport d'interpellation, de même que les déclarations crédibles et convergentes des agents municipaux emportent la conviction de la CPAR face aux dénégations peu consistantes de A______, qui admet cependant le dommage à son pare-chocs, lequel est à l'origine de l'intervention de la police municipale. Aucune autre explication qu'une fuite dans la précipitation ne peut expliquer que l'appelant ait rapidement abandonné son véhicule fermé au milieu d'une voie de circulation dans le square du Mont-Blanc s'il n'avait cherché à se soustraire à un contrôle, l'emplacement du véhicule ayant été constaté également par le gendarme I______ intervenu sur les lieux quelques minutes plus tard. Le fait que A______ ne se soit pas caché dans l'immeuble situé à proximité de ce square, dont il n'est pas établi qu'il abrite ses bureaux et dont on ignore les conditions d'accès, ou qu'il ait cheminé en direction du pont du Mont-Blanc à pied alors que la tentative de contrôle venait d'avoir lieu n'est pas relevant vu son état d'ébriété, manifestement suffisamment avancé pour troubler son appréciation des événements. Il y a d'ailleurs lieu de noter qu'un constat d'incapacité de conduire a été établi par les gendarmes, lequel mentionne une attitude agressive, une expression verbale imprécise et une compréhension problématique, alors que l'intéressé sentait l'alcool et avait les yeux injectés, ces éléments ayant été relevés tant par les agents municipaux que par la gendarmerie. Lors de l'intervention des autorités, A______ a demandé la présence de son avocat, à tout le moins au H______, préalablement à son audition. Il n'est pas établi, contrairement à ses allégués, qu'il a indiqué que le numéro du téléphone portable de son</w:t>
      </w:r>
    </w:p>
    <w:p>
      <w:r>
        <w:t>- 13/26 - P/7728/2018 conseil se trouvait dans son propre téléphone portable, aucun gendarme ne l'ayant confirmé. Il n'appartenait pas à la police de rechercher elle-même les coordonnées privées d'un avocat dans le téléphone portable du prévenu, ce d'autant qu'elle dispose de ses coordonnées professionnelles. La police a tenté de contacter Me B______ et a avisé A______ du fait que son conseil demeurait inatteignable. A aucun moment, A______ n'a fait part d'une volonté d'être assisté par un autre conseil, quand bien même le call center de la centrale des avocats a été évoqué par le Procureur. Dans la mesure où l'avis d'envoi par fax du formulaire destiné à aviser un avocat de ce que la police avait tenté de le joindre est postérieur de deux minutes uniquement à l'heure de fin de l'audition de l'appelant, il est vraisemblable, comme mentionné sous "défense" en début du procès- verbal d'audition, que la police a cherché à joindre Me B______ sans que l'on ne sache à quel numéro précisément. Cette question souffre de rester indécise dans la mesure de ce qui suit infra. L'informalité figurant au procès-verbal de la police que l'appelant qualifie de "vice grave" s'explique par et s'inscrit dans la préparation du document préalable à l'audition selon les explications données par le gendarme G______, le rapport mentionnant bien une conduite à la B.S.R. Dans cette même perspective, l'heure mentionnée sur la télécopie adressée à Me B______ relève de la préparation du document destiné à être envoyé à l'avocat à la fin de l'audition. Il n'est aucunement vraisemblable que les heures mentionnées sur le procès-verbal et le fax à l'avocat aient été ajoutées postérieurement à la fin de l'audition alors que le premier d'entre eux allait être soumis à l'appelant pour signature. Il est cependant clairement établi que tout au long de l'intervention policière, A______ a refusé tant le test préalable de l'éthylomètre que la prise de sang qui lui a été proposée à la B.S.R, ce qu'il admet. Il a ensuite été mis à disposition du MP devant lequel il a été auditionné à 9h58.</w:t>
      </w:r>
    </w:p>
    <w:p>
      <w:r>
        <w:t>3.2.1. L'art. 286 CP réprime celui qui aura empêché une autorité, un membre d'une autorité ou un fonctionnaire de faire un acte entrant dans ses fonctions.</w:t>
      </w:r>
    </w:p>
    <w:p>
      <w:r>
        <w:t>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tant de celle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ATF 120 IV 136 consid. 2a p. 139 et références citées). Le seul fait d'exprimer</w:t>
      </w:r>
    </w:p>
    <w:p>
      <w:r>
        <w:t>- 14/26 - P/7728/2018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ATF 103 IV 186 consid. 4/5 p. 188).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3ème éd., 2010, n. 13 ad art. 286 CP). Selon la jurisprudence, imposer sa présence dans une salle pour empêcher une autorité d'y tenir séance constitue, par une action, une opposition aux actes de l'autorité (ATF 107 IV 113 consid. 4 p. 118).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3.2.2. L'infraction réprimée à l'art. 286 CP requiert l'intention ; le dol éventuel suffit. 3.2.3. En l'espèce, comme la Cour l'a retenu supra, l'appelant était parfaitement conscient de l'intervention de la police municipale à son égard, dans la mesure où il s'est plié à sa demande en s'arrêtant sur les places réservées aux cars à l'entrée du pont du Mont-Blanc. Il est également considéré comme établi qu'après s'être brièvement stationné sur lesdites places, il est reparti en direction de la rue du Mont-Blanc, puis a bifurqué dans le square du même nom, où il a abandonné son véhicule au milieu de la voie de circulation, pour repartir à pied, la Cour ayant estimé qu'un tel comportement ne pouvait avoir pour autre explication qu'une fuite précipitée. En agissant de la sorte, l'appelant s'est sciemment dérobé à un contrôle de police, entravant cette dernière dans l'accomplissement d'un acte entrant dans ses fonctions. Sa culpabilité de ce chef sera ainsi confirmée.</w:t>
      </w:r>
    </w:p>
    <w:p>
      <w:r>
        <w:t>3.3.1.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w:t>
      </w:r>
    </w:p>
    <w:p>
      <w:r>
        <w:t>- 15/26 - P/7728/2018 complémentaire ou fait en sorte que des mesures de ce genre ne puissent atteindre leur but, sera puni d'une peine privative de liberté de trois ans au plus ou d'une peine pécuniaire. 3.3.2. L'art. 91a al. 1 LCR distingue trois comportements punissables : la dérobade - laquelle est liée à la violation des devoirs en cas d'accident (ATF 142 IV 324 consid. 1.1.1 p. 326) -, la mise en échec d'une constatation - qui consiste à fausser les résultats issus d'une mesure d'investigation de l'état d'incapacité de conduire (ATF 131 IV 36 consid. 2.2.4 p. 40) - ainsi que l'opposition. S'agissant de l'opposition, l'acte délictueux consiste à se comporter de telle manière qu'une mesure d'investigation de l'incapacité de conduire ne puisse pas être exécutée, à tout le moins momentanément, que ce soit en raison d'une résistance active ou passive de l'auteur. L'opposition suppose en principe que la mesure a déjà été ordonnée. Toutefois, dès lors que le texte de l'art.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(arrêt du Tribunal fédéral 6B_158/2019 du 12 mars 2019 consid. 1.1.1). 3.3.3. Sur le plan subjectif, l'infraction est intentionnelle, le dol éventuel étant suffisant (ATF 131 IV 36 consid. 2.2.1 p. 39 s'agissant de l'art. 91 al. 3 aLCR). Aucun dessein spécial n'est requis. Il n'est ainsi pas déterminant que l'auteur se soit senti ou non en incapacité de conduire ou qu'il soit finalement constaté qu'il se trouvait dans cet état (ATF 105 IV 64 consid. 2 p. 65 ; arrêt du Tribunal fédéral 6B_158/2019 du 12 mars 2019 consid. 1.1.1). 3.3.4. La soustraction à la constatation de l'incapacité est une infraction de résultat qui suppose, pour être consommée, qu'il soit impossible d'établir de manière probante l'état de la personne au moment déterminant par le moyen de l'une des mesures spécifiques prévues ; si l'auteur n'a pas atteint ce résultat, il ne peut y avoir que tentative (ATF 115 IV 51 consid. 5 p. 56 ; arrêt du Tribunal fédéral 6B_158/2019 du 12 mars 2019 consid. 1.1.1). 3.3.5. En l'espèce, il est établi que l'appelant a refusé à plusieurs reprises de se soumettre tant à l'éthylotest qu'à la prise de sang, mesures clairement sollicitées par la police qui visaient à établir son taux d'alcoolémie dès lors qu'il avait fait l'objet d'un constat d'incapacité de conduire vu les signes externes d'ébriété qu'il manifestait. L'appelant affirme ne pas s'être opposé à une prise de sang et à l'éthylotest, mais avoir subordonné son accord à la présence de son avocat, ce que la police aurait refusé, et à l'aval de celui-ci.</w:t>
      </w:r>
    </w:p>
    <w:p>
      <w:r>
        <w:t>- 16/26 - P/7728/2018 Or, l'éthylotest et la prise de sang sont des mesures techniques usuellement ordonnées à l'égard de conducteurs interpellés en état d'ivresse et ne nécessitent pas en soi la présence obligatoire d'un avocat. Tout conducteur de véhicule automobile doit en effet s'attendre à faire l'objet d'un tel contrôle, de surcroît lorsqu'il conduit après avoir ingéré de l'alcool. L'appelant est un homme instruit et intelligent, chef d'une entreprise de 300 employés, si bien que, vu les circonstances, il ne pouvait que comprendre, ou à tout le moins se douter, de ce qu'impliquerait un refus de se soumettre à ces mesures. L'avis de son avocat à cet égard n'était pas nécessaire, étant relevé que ce n'est qu'au stade de l'audience par-devant le TP que l'appelant a fait état de ce qu'il attendait les recommandations de son avocat pour obtempérer. De surcroît, dans l’hypothèse où le conseil de l’appelant, indisponible au milieu de la nuit, l’avait finalement été en fin de matinée, le taux d’alcoolémie du prévenu aurait pu, durant ce laps de temps, s’amenuiser au point qu’un calcul rétroactif ne puisse plus être exécuté, ce qui aurait fait échec au but de la disposition visée. Compte tenu de l’opposition manifestée dès environ 3h30 du matin, le passage devant le MP à 10h00 est indifférent à la réalisation de l’infraction, celle-ci étant alors déjà consommée. Dès lors qu'en définitive, en raison de ses refus, son taux d'alcoolémie n'a pas pu être déterminé, l'appelant s'est bien rendu coupable d'entrave aux mesures de constatation de l'incapacité de conduire. Sa culpabilité de ce chef sera partant également confirmée. 4.1. L'empêchement d'accomplir un acte officiel (art. 286 CP) est passible d'une peine pécuniaire de 30 jours-amende au plus, tandis que l'entrave aux mesures de constatation de l'incapacité de conduire (art. 91a LCR) l'est d'une peine privative de liberté de trois ans au plus ou d'une peine pécuniaire. 4.2. Le nouveau droit des sanctions n'étant in concreto pas plus favorable à l'appelant, il n'en sera pas fait application (art. 2 al. 2 CP). 4.3.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w:t>
      </w:r>
    </w:p>
    <w:p>
      <w:r>
        <w:t>- 17/26 - P/7728/2018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4.4. Au sens de l'art. 34 aCP, la peine pécuniaire ne peut excéder 360 jours-amende (al. 1). Le juge fixe leur nombre en fonction de la culpabilité de l'auteur. Le jour- amende est de CHF 3000.- au plus. Le juge en fixe le montant selon la situation personnelle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La situation à prendre en compte est celle existant au moment où le juge du fait statue (ATF 142 IV 315 consid. 5.3.2 p. 321).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obligatoires,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w:t>
      </w:r>
    </w:p>
    <w:p>
      <w:r>
        <w:t>- 18/26 - P/7728/2018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(ATF 134 IV 60 consid. 6.4 p. 70 ; ATF 142 IV 315 consid. 5.3 ; 6B_845/2009 du 11 janvier 2010 consid. 1.1.4 in SJ 2010 I 205). Le juge dispose d'un large pouvoir d'appréciation lui permettant de procéder à une estimation du montant du jour-amende en fonction des informations dont il dispose (arrêts du Tribunal fédéral 6B_133/2018 du 27 juillet 2018 consid. 3.1 ; arrêt du Tribunal fédéral 6B_568/2012 du 16 novembre 2012 consid. 2.1). 4.5.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Le juge doit ensuite, en fonction de la situation financière de l'auteur, fixer la quotité de l'amende de manière qu'il soit frappé dans la mesure adéquate (ATF 129 IV 6 consid. 6.1 in JdT 2005 IV p. 215 ; 119 IV 330 consid. 3 p. 337). Un jour de peine privative de liberté de substitution (art. 106 al. 2 CP) correspond schématiquement à CHF 100.- d'amende (R. ROTH / L. MOREILLON (éds), Code pénal I : art. 1-100 CP, Bâle 2009, n. 19 ad art. 106). 4.6.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Selon l'art. 42 al. 4 aCP,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w:t>
      </w:r>
    </w:p>
    <w:p>
      <w:r>
        <w:t>- 19/26 - P/7728/2018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p. 74 s ; arrêt du Tribunal fédéral 6B_835/2018 du 8 novembre 2018 consid. 3.2). La peine prononcée avec sursis reste prépondérante, alors que la peine pécuniaire sans sursis ou l'amende est d'importance secondaire (ATF 134 IV 1 consid. 4.5.2. p. 8). Cette combinaison de peines ne doit pas conduire à une aggravation de la peine globale ou permettre une peine supplémentaire. Les peines combinées, dans leur somme totale, doivent être adaptées à la faute (ATF 134 IV 53 consid. 5.2 p. 55 ; arrêt du Tribunal fédéral 6B_952/2016 du 29 août 2017 consid. 3.1). Pour tenir compte du caractère accessoire des peines cumulées, il se justifie en principe d'en fixer la limite supérieure à un cinquième, respectivement à 20% de la peine principale (ATF 135 IV 188 consid. 3.4.4. p. 191). Le juge dispose, en ce qui concerne la fixation de la peine privative de liberté de substitution, d'un pouvoir d'appréciation plus étendu. Dans la mesure où la faute constitue, contrairement à l'ancien droit,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 du Tribunal fédéral 6B_903/2015 du 21 septembre 2016). 4.7. En l'espèce, la faute de l'appelant est d’une gravité certaine. Après avoir fait mine de se soumettre à l'injonction de la police municipale visant à lui faire arrêter son véhicule sur le côté de la route, l'appelant a pris la fuite. Il a abandonné son véhicule dans un square et est reparti à pied. Une fois interpellé par la police, il a refusé de se soumettre à un test d'éthylomètre ainsi qu'à une prise de sang, mesures visant à déterminer sa capacité de conduire, et ce malgré plusieurs demandes de la police. Vu les explications fantaisistes données en première instance et en appel, la collaboration de l’appelant ne peut être qualifiée que de mauvaise. Sa prise de conscience est par ailleurs inexistante, puisqu’il n'a eu de cesse de nier les faits durant toute la procédure.</w:t>
      </w:r>
    </w:p>
    <w:p>
      <w:r>
        <w:t>- 20/26 - P/7728/2018 Compte tenu de la situation de l'appelant et de la faute commise, le prononcé d'une peine pécuniaire est adéquat en l'espèce, tant pour l'infraction à l'art. 286 CP qu'à l'art. 91a al. 1 LCR. Ainsi, dans la mesure où l'infraction abstraitement la plus grave est celle d'entrave aux mesures de constatation de l'incapacité de conduire, la CPAR retiendra qu'une peine pécuniaire de 75 jours-amende est appropriée et sanctionne adéquatement le comportement de l'appelant pour cette infraction. Cette peine sera étendue à 100 jours-amende compte tenu de l'infraction à l'art. 286 CP, les deux infractions entrant en concours (art. 49 al. 1 CP). En dépit des revenus substantiels de l'appelant, le montant du jour-amende fixé par le premier juge à CHF 2'000.- apparaît trop élevé. Après déduction sur son salaire mensuel net de son minimum vital ainsi que de celui de ses deux enfants mineurs et la prise en compte de son domicile en Belgique, où le coût de la vie est notoirement moins élevé qu'en Suisse, le montant de CHF 770.- apparaît adéquat et sera retenu par la Cour. En l'absence d'appel du MP, le sursis est acquis à l'appelant si bien que son octroi avec délai d'épreuve de trois ans sera confirmé. A titre de prévention spéciale, le prononcé d'une amende en sus s'impose au titre de sanction immédiate. Néanmoins, pour les mêmes motifs qu'évoqués supra s'agissant du jour-amende, le montant retenu par le premier juge apparaît excessif, la situation financière de l'appelant commandant le prononcé d'une amende de CHF 3'000.-. Ce montant n'excède pas 20% de la peine principale. La peine privative de liberté de substitution est arrêtée à quatre jours, correspondant au montant de l'amende, divisée par le montant du jour-amende.</w:t>
      </w:r>
    </w:p>
    <w:p>
      <w:r>
        <w:rPr>
          <w:b/>
        </w:rPr>
        <w:t>E. 5</w:t>
      </w:r>
    </w:p>
    <w:p>
      <w:r>
        <w:t>5.1.1.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Comme il est difficile de déterminer avec exactitude les frais qui relèvent de chaque fait imputable ou non au condamné, une certaine marge d'appréciation doit être laissée à la cour cantonale (arrêts du Tribunal fédéral 6B_572/2018 du 1er octobre 2018 consid. 5.1.1 ; 6B_136/2016 du 23 janvier 2017 consid. 4.1.1).</w:t>
      </w:r>
    </w:p>
    <w:p>
      <w:r>
        <w:t>- 21/26 - P/7728/2018 5.1.2. En l'espèce, l'appelant a été condamné en première instance à l'intégralité des frais de la procédure, alors qu'il a été acquitté de violence ou menace contre les autorités et les fonctionnaires (art. 285 ch. 1 al. 1 CP), le TP ayant considéré qu'aucun élément du dossier ne permettait d'établir que des propos menaçant avaient été proférés à l'encontre des agents municipaux et cantonaux. Toutefois, c'est à bon escient que le premier juge a considéré comme dûment établi que l'appelant avait, en toute connaissance de cause, provoqué l'ouverture de la présente procédure et allongée celle-ci par son comportement provocateur et agressif envers les policiers et son attitude en cours de procédure. Par ailleurs, aucun acte d'instruction particulier n'a été mis en œuvre concernant cette violation dont l'examen n'a engendré aucun frais spécifique, si bien qu'une condamnation à la totalité des frais de première instance était dès lors conforme aux dispositions applicables et qu'elle sera confirmée.</w:t>
      </w:r>
    </w:p>
    <w:p>
      <w:r>
        <w:rPr>
          <w:b/>
        </w:rPr>
        <w:t>E. 5.2</w:t>
      </w:r>
    </w:p>
    <w:p>
      <w:r>
        <w:t>Vu l'issue de l'appel, les frais de la procédure, comprenant un émolument de jugement de CHF 2'000.-, seront mis à la charge de l'appelant à hauteur de quatre cinquièmes, le reste étant laissé à la charge de l'Etat (art. 428 al. 1 CPP).</w:t>
      </w:r>
    </w:p>
    <w:p>
      <w:r>
        <w:rPr>
          <w:b/>
        </w:rPr>
        <w:t>E. 6.1</w:t>
      </w:r>
    </w:p>
    <w:p>
      <w:r>
        <w:t>A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Lorsque la condamnation aux frais n'est que partielle, la réduction de l'indemnité devrait s'opérer dans la même mesure (arrêt du Tribunal fédéral 6B_1191/2016 du 12 octobre 2017 consid. 2.1).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Les honoraires d'avocat se calculent selon le tarif usuel du barreau applicable dans le canton où la procédure se déroule (arrêt du Tribunal fédéral 6B_392/2013 du 4 novembre 2013 consid. 2.3). La Cour de justice retient en principe un tarif horaire de CHF 350.- pour les collaborateurs (AARP/65/2017</w:t>
      </w:r>
    </w:p>
    <w:p>
      <w:r>
        <w:t>- 22/26 - P/7728/2018 du 23 février 2017 ; AARP/125/2012 du 30 avril 2012) et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L'indemnité fondée sur l'art. 429 al. 1 let. a CPP pour les dépenses obligatoires occasionnées par la procédure ne produit pas d'intérêts (ATF 143 IV 495 consid. 2.2.4 ; arrêt du Tribunal fédéral 6B_1008/2017 du 5 avril 2018 consid. 2.3 in fine).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2ème phrase CPP). Le prévenu a ainsi un devoir de collaboration (arrêts du Tribunal fédéral 6B_796/2016 du 15 mai 2017 consid. 1 ; 6B_928/2014 du 10 mars 2014 consid. 2 non publié in ATF 124 IV 163). La jurisprudence a déduit de cette disposition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 arrêts du Tribunal fédéral 6B_1142/2016 du 18 mai 2017 consid. 2.1 ; 6B_477/2016 du 22 mars 2017 consid. 2.1).</w:t>
      </w:r>
    </w:p>
    <w:p>
      <w:r>
        <w:rPr>
          <w:b/>
        </w:rPr>
        <w:t>E. 6.2</w:t>
      </w:r>
    </w:p>
    <w:p>
      <w:r>
        <w:t>En vertu de l'art. 436 al. 2 CPP, lorsque ni un acquittement total ou partiel ni un classement ne sont prononcés, le prévenu peut prétendre à une juste indemnité pour ses dépenses liées à l'activité de son avocat de choix (ATF 138 IV 205, consid. 1)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[éds], Strafprozessordnung - Jugendstrafprozessordnung, Basler Kommentar StPO/JStPO, 2e éd., Bâle 2014, n. 10 ad art. 436).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6.3.1. En l'espèce, vu la confirmation de la mise à la charge de l'appelant de la totalité des frais de première instance (cf. 5.1.2), il ne saurait prétendre à une quelconque</w:t>
      </w:r>
    </w:p>
    <w:p>
      <w:r>
        <w:t>- 23/26 - P/7728/2018 indemnité fondée sur l'art. 429 CPP pour ses frais de défense, si bien que ses conclusions à cet égard seront rejetées. 6.3.2. En revanche, dans la mesure où le montant du jour-amende et de l'amende prononcée à titre de sanction immédiate ont été réduits en seconde instance, une indemnité lui sera accordée ex aequo et bono, comme demandé, pour ses frais de défense pour la procédure d'appel. La Cour se fondera sur le time-sheet daté du 17 février 2020 produit dans le cadre des conclusions en indemnisation du 4 mars 2020, lequel fait état d'une activité de collaborateur de 30 minutes pour la rédaction de la déclaration d'appel et l'envoi d'un courrier à la Cour. Statuant d'office pour le surplus dans la mesure où l'appelant n'a pas produit de nouvelle pièce justificative en lien avec ses conclusions en indemnisation dans son mémoire d'appel, la CPAR retiendra que l'activité du collaborateur s'est, entre les mois de février et mai 2020, globalement encore élevée à cinq heures (rédaction d'un mémoire d'appel de 9 pages et de divers brefs courriers ainsi que prise de connaissance des réponses du MP et du TP). Ainsi, l'activité à indemniser correspond à 5 heures et 30 minutes d'activité de collaborateur au tarif horaire de CHF 350.-, soit CHF 1'925.-. En tenant compte de la répartition des frais de la procédure d'appel (cf. 5.2.), c'est un montant de CHF 385.- qui sera en définitif alloué à l'appelant au titre de ses frais de défense. Conformément à l'art. 442 al. 4 CPP, la part des frais de la procédure supportée par l'appelant (cf. 5.2.) sera compensée à due concurrence avec les indemnités qui lui sont octroyées pour ses frais de défense (arrêt du Tribunal fédéral 6B_648/2016 du 4 avril 2017 consid. 1). 6.3.3. Les prétentions en indemnisation du tort moral de l'appelant doivent être rejetées dans la mesure où le comportement de ce dernier ainsi que la gravité des faits pour lesquels il demeure condamné justifiaient déjà en eux-mêmes, sans que l'infraction de menaces contre les autorités ou les fonctionnaires n'ait besoin d'être retenue, sa mise en détention. * * * * *</w:t>
      </w:r>
    </w:p>
    <w:p>
      <w:r>
        <w:t>- 24/26 - P/7728/2018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