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AARP/278/2016 vom 29. Juni 2016</w:t>
      </w:r>
    </w:p>
    <w:p>
      <w:r>
        <w:t>GE Cour de justice, 2016-06-29, FR</w:t>
      </w:r>
    </w:p>
    <w:p>
      <w:r>
        <w:rPr>
          <w:b/>
        </w:rPr>
        <w:t xml:space="preserve">Quelle: </w:t>
      </w:r>
      <w:r>
        <w:t>https://mcp.opencaselaw.ch/entscheid/ge_gerichte_AARP_278_2016</w:t>
      </w:r>
    </w:p>
    <w:p>
      <w:r>
        <w:t>FR: GE_GERICHTE AARP/278/2016 du 29 juin 2016</w:t>
      </w:r>
    </w:p>
    <w:p>
      <w:r>
        <w:t>IT: GE_GERICHTE AARP/278/2016 del 29 giugno 2016</w:t>
      </w:r>
    </w:p>
    <w:p>
      <w:pPr>
        <w:pStyle w:val="Heading2"/>
      </w:pPr>
      <w:r>
        <w:t>Erwägungen</w:t>
      </w:r>
    </w:p>
    <w:p>
      <w:r>
        <w:rPr>
          <w:b/>
        </w:rPr>
        <w:t>E. 1.1</w:t>
      </w:r>
    </w:p>
    <w:p>
      <w:r>
        <w:t>L'appel est recevable pour avoir été interjeté et motivé selon la forme et dans les délais prescrits (art. 398 et 399 du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1.2</w:t>
      </w:r>
    </w:p>
    <w:p>
      <w:r>
        <w:t>À teneur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(arrêt du Tribunal fédéral 6B_362/2012 du 29 octobre 2012 consid. 5.2). Le</w:t>
      </w:r>
    </w:p>
    <w:p>
      <w:r>
        <w:t>- 4/9 - P/11646/2015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2</w:t>
      </w:r>
    </w:p>
    <w:p>
      <w:r>
        <w:t>2.1.1. À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Pour que la confiscation puisse être ordonnée, il faut qu'une infraction ait été commise, que tous les éléments constitutifs objectifs et subjectifs de cette infraction soient établis et que les fonds visés par la confiscation soient le résultat de la commission de cette infraction (ATF 136 IV 4 consid. 6.6), même si la culpabilité de son auteur n'est pas examinée (ATF 132 II 178 consid. 4 ; ATF 129 IV 81 consid. 4.1 p. 93 ; arrêts du Tribunal fédéral 6S.79/2006 du 24 mai 2006 consid. 3 ; 6S.357/2002 du 18 décembre 2002 consid. 4.2). La confiscation pourra ainsi être ordonnée même si l'auteur de l'infraction n'est pas identifié ou qu'un acquittement a été prononcé bien que les éléments constitutifs de l'infraction soient réalisés (ATF 129 IV 305 consid. 4 p. 311 = SJ 2004 I 98 consid. 4.2.3. p. 99 : absence de plainte, s'agissant d'infractions non poursuivies d'office ; ATF 122 IV 91 consid. 3b p. 94 ; ATF 115 IV 175 consid. 1 p. 177 ; arrêt du Tribunal fédéral 1B.185/2007 du 30 novembre 2007 consid. 9 ; Message concernant la modification du code pénal suisse et du code pénal militaire [Révision du droit de la confiscation, punissabilité de l'organisation criminelle, droit de communication du financier] du 30 juin 1993, FF 1993 p. 299 : en raison de l'irresponsabilité de l'auteur). Le seul lien entre les avoirs confisqués et des actes relevant du droit pénal est à la fois nécessaire et suffisant (ATF 125 IV 4 consid. a/bb = JdT 2000 IV 74).</w:t>
      </w:r>
    </w:p>
    <w:p>
      <w:r>
        <w:t>2.1.2. Le droit d'ordonner la confiscation de valeurs se prescrit par sept ans, à moins que la poursuite de l'infraction en cause ne soit soumise à une prescription d'une durée plus longue ; celle-ci est alors applicable (art. 70 al. 3 CP).</w:t>
      </w:r>
    </w:p>
    <w:p>
      <w:r>
        <w:t>Cette disposition s'applique aussi dans le cadre de contraventions qui se prescrivent, conformément à l'art. 109 CP, après trois ans. Ainsi, les valeurs patrimoniales qui ont été obtenues par la commission d'une contravention demeurent confiscables, lorsque la contravention elle-même est prescrite (ATF 141 IV 305 consid. 1.4 p. 309 s. ; ATF 129 IV 305 consid. 4.2.2. p. 310 ; ATF 117 IV 233 consid. 5d/aa = JdT 1994 IV 40). 2.1.3. L'autorité pénale peut mettre sous séquestre des objets et des valeurs patrimoniales appartenant au prévenu ou à des tiers, notamment lorsqu'il est probable</w:t>
      </w:r>
    </w:p>
    <w:p>
      <w:r>
        <w:t>- 5/9 - P/11646/2015 qu'ils seront utilisés pour garantir le paiement des frais de procédure ou qu'ils devront être confisqués (art. 263 al. 1 let. b et d CPP). En application de l'art. 263 al. 3 CPP, les sommes détenues par une personne se livrant à la mendicité peuvent être séquestrées par la police en vue de confiscation ultérieure dans la mesure où il s'agit du produit de son activité illicite (AARP/137/2012 du 9 mai 2012 consid. 5 p. 12 ; AARP/129/2012 du 7 mai 2012).</w:t>
      </w:r>
    </w:p>
    <w:p>
      <w:r>
        <w:rPr>
          <w:b/>
        </w:rPr>
        <w:t>E. 2.2</w:t>
      </w:r>
    </w:p>
    <w:p>
      <w:r>
        <w:t>Selon l'art. 268 al. 1 CPP, le patrimoine d'un prévenu peut être séquestré dans la mesure qui paraît nécessaire pour couvrir les frais de procédure et les indemnités à verser (let. a). Selon la systématique du CPP, seul le séquestre en couverture des frais impose de prendre en compte le revenu et la fortune du prévenu (art. 268 al. 2 CPP) et d'exclure du séquestre les valeurs insaisissables selon les art. 92 à 94 de la loi fédérale du 11 avril 1889 sur la poursuite pour dettes et la faillite (LP ou loi sur la poursuite ; RS 281.1 – art. 268 al. 3 CPP). 2.3.1. En l'espèce, l'appelante a été interpellée dans la rue alors qu'elle se livrait à la mendicité. La police a saisi en sa possession la somme de CHF 70.-, ce qu'elle était autorisée à faire (art. 263 al. 3 CPP). La mendicité étant le seul moyen d'existence de l'appelante, il est évident que la somme saisie représentait le produit de l'infraction commise et ne provenait pas de son époux, contrairement à la thèse soutenue par elle pour les besoins de la cause, et par ailleurs non étayée. La commission de l'infraction de mendicité est établie, l'appelante ayant au demeurant reconnu les faits. Seule la prescription de l'action pénale faisait obstacle à un verdict de culpabilité. Le premier juge aurait donc pu et dû prononcer la confiscation de la somme saisie sur la base de l'art. 70 al. 1 CP, la prescription de la contravention n'entraînant pas encore celle du droit d'ordonner la confiscation (art. 70 al. 3 CP). Ceci étant, rectifier la décision querellée reviendrait à péjorer la situation de l'appelante, ce qui est proscrit par l'art. 391 al. 1 CPP, puisqu'elle ne profiterait dès lors pas de la diminution de sa dette envers l'État résultant de la compensation prononcée. Le dispositif du jugement sera partant confirmé et l'appel rejeté, l'intéressée bénéficiant de la compensation pour le motif susévoqué, sans pour autant pouvoir se prévaloir de l'art. 268 al. 2 et 3 CPP.</w:t>
      </w:r>
    </w:p>
    <w:p>
      <w:r>
        <w:rPr>
          <w:b/>
        </w:rPr>
        <w:t>E. 3</w:t>
      </w:r>
    </w:p>
    <w:p>
      <w:r>
        <w:t>L'appelante, qui succombe, supportera les frais de la procédure envers l'État, qui comprennent un émolument de CHF 1'000.- (art. 428 CPP et art. 14 al. 1 let. e du Règlement fixant le tarif des frais en matière pénale du 22 décembre 2010 [RTFMP – E 4 10.03]).</w:t>
      </w:r>
    </w:p>
    <w:p>
      <w:r>
        <w:t>- 6/9 - P/11646/2015</w:t>
      </w:r>
    </w:p>
    <w:p>
      <w:r>
        <w:rPr>
          <w:b/>
        </w:rPr>
        <w:t>E. 4.1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4.2.1.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chef d'étude CHF 200.- (let. c). En cas d'assujettissement, l'équivalent de la TVA est versé en sus.</w:t>
      </w:r>
    </w:p>
    <w:p>
      <w:r>
        <w:t>4.2.2. Le nombre d'heures nécessaires pour assurer la défense d'office du prévenu est décisif pour fixer la rémunération de l'avocat,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 cf. art. art 16. al. 2 RAJ). Toutefois, si, comme à Genève, la réglementation prévoit un tarif réduit, celui-ci s'applique sans égard à l'issue du procès (ATF 139 IV 261 consid. 2 p. 261 ss). Les autorités cantonales jouissent d'une importante marge d'appréciation lorsqu'elles fixent, dans la procédure, la rémunération du défenseur d'office (ATF 141 I 124 consid. 3.2 p. 126-127 et les références citées ; arrêts du Tribunal fédéral 6B_675/2015 précité consid. 3.1 et 6B_856/2014 du 10 juillet 2015 consid. 2.3 ; décision du Tribunal pénal fédéral BB.2015.85 du 12 avril 2016 consid. 3.2.3).</w:t>
      </w:r>
    </w:p>
    <w:p>
      <w:r>
        <w:t>4.2.3.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w:t>
      </w:r>
    </w:p>
    <w:p>
      <w:r>
        <w:t>- 7/9 - P/11646/2015 simplification et de rationalisation, l'expérience enseignant qu'un taux de 20% jusqu'à 30 heures de travail dans un même dossier, 10% au-delà, permet de couvrir les prestations n'entrant pas dans les postes de la procédure et répondant à l'exigence de nécessité et d'adéquation.</w:t>
      </w:r>
    </w:p>
    <w:p>
      <w:r>
        <w:t>4.2.4. Selon l'art. 17 RAJ, l'état de frais doit détailler, par rubriques, les activités donnant lieu à indemnisation, avec indication du temps consacré, et les justificatifs doivent être joints.</w:t>
      </w:r>
    </w:p>
    <w:p>
      <w:r>
        <w:rPr>
          <w:b/>
        </w:rPr>
        <w:t>E. 4.3</w:t>
      </w:r>
    </w:p>
    <w:p>
      <w:r>
        <w:t>L'appelante concluant à l'octroi d'une indemnité équitable pour ses frais de défense en appel, sans toutefois produire de relevé pour l'activité de son conseil, la CPAR arrêtera cette indemnité ex aequo et bono, à CHF 518.40, TVA à 8% incluse, correspondant à deux heures d'activité au tarif de CHF 200.-/heure, pour un mémoire de quatre pages, dont celle de garde, plus la majoration forfaitaire usuelle de 20% (CHF 80.-). * * * * *</w:t>
      </w:r>
    </w:p>
    <w:p>
      <w:r>
        <w:t>- 8/9 - P/11646/2015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