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AARP/277/2020 vom 22. Juli 2020</w:t>
      </w:r>
    </w:p>
    <w:p>
      <w:r>
        <w:t>GE Cour de justice, 2020-07-22, FR</w:t>
      </w:r>
    </w:p>
    <w:p>
      <w:r>
        <w:rPr>
          <w:b/>
        </w:rPr>
        <w:t xml:space="preserve">Quelle: </w:t>
      </w:r>
      <w:r>
        <w:t>https://mcp.opencaselaw.ch/entscheid/ge_gerichte_AARP_277_2020</w:t>
      </w:r>
    </w:p>
    <w:p>
      <w:r>
        <w:t>FR: GE_GERICHTE AARP/277/2020 du 22 juillet 2020</w:t>
      </w:r>
    </w:p>
    <w:p>
      <w:r>
        <w:t>IT: GE_GERICHTE AARP/277/2020 del 22 luglio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A titre préjudiciel, A______ conclut à un complément d'expertise, voire à une nouvelle expertise.</w:t>
      </w:r>
    </w:p>
    <w:p>
      <w:r>
        <w:rPr>
          <w:b/>
        </w:rPr>
        <w:t>E. 2.1</w:t>
      </w:r>
    </w:p>
    <w:p>
      <w:r>
        <w:t>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6B_341/2010 du 20 juillet 2010 consid. 3.3.1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w:t>
      </w:r>
    </w:p>
    <w:p>
      <w:r>
        <w:t>- 22/39 - P/14736/2009 expertise non concluante, il pourrait commettre une appréciation arbitraire des preuves et violer l'art. 9 de la Constitution fédérale (arrêt du Tribunal fédéral 6B_1182/2017 du 12 avril 2018 consid. 3.1.2 et les références citées). Selon la jurisprudence,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(arrêt du Tribunal fédéral 6B_482/2011 du 21 novembre 2011 consid. 2.2).</w:t>
      </w:r>
    </w:p>
    <w:p>
      <w:r>
        <w:rPr>
          <w:b/>
        </w:rPr>
        <w:t>E. 2.2</w:t>
      </w:r>
    </w:p>
    <w:p>
      <w:r>
        <w:t>En l'espèce, il n'y a pas lieu de procéder à un complément d'expertise, encore moins à une nouvelle expertise. D'une part, l'expertise de 2010, contemporaine des faits reprochés à l'appelant, ne souffre ni de contradictions, ni de défaut de clarté. Il n'y a ainsi pas lieu de s'en écarter quant au diagnostic de trouble mixte de la personnalité avec des traits narcissiques et antisociaux, impliquant une tendance à la manipulation et au mensonge, sans diminution de la responsabilité. Il est de surcroît douteux qu'une expertise ordonnée une dizaine d'années après certains des faits reprochés dans l'acte d'accusation puisse apporter avec la certitude nécessaire les éléments utiles à l'appréciation par l'autorité de jugement de la responsabilité de l'appelant à cette époque. En outre, l'expertise relative à la capacité de l'appelant à prendre part aux débats réalisée en avril 2020 conclut à un diagnostic de trouble de la personnalité dyssociale avec composante psychopathique, c'est-à-dire manipulatoire, soit un diagnostic qui n'apparaît pas si éloigné de celui retenu dans la première expertise qu'il soit de nature à susciter un doute. L'expert ayant conclu que le prononcé d'une mesure n'était pas d'actualité, la CPAR n'aura, de surcroît, pas à se prononcer sur un traitement, étant rappelé que le sursis a été accordé à la peine prononcée et qu'il n'y a pas d'appel du MP. Quant à la question de la révocation du sursis accordé le 21 décembre 2006, la CPAR se réfère à son considérant 7.2.2. infra. Aux motifs qui précèdent, la question préjudicielle est ainsi rejetée.</w:t>
      </w:r>
    </w:p>
    <w:p>
      <w:r>
        <w:rPr>
          <w:b/>
        </w:rPr>
        <w:t>E. 3</w:t>
      </w:r>
    </w:p>
    <w:p>
      <w:r>
        <w:t>3.1.1. L'art. 251 ch. 1 CP réprime d'une peine privative de liberté de cinq ans au plus ou d'une peine pécuniaire,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- 23/39 - P/14736/2009 3.1.2. Il y a faux matériel lorsqu'une personne fabrique un titre dont l'auteur réel ne coïncide pas avec l'auteur apparent. Le faussaire crée un titre qui trompe sur l'identité de celui dont il émane en réalité (ATF 128 IV 265 consid. 1.1.1 p. 268 et les références).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(arrêt du Tribunal fédéral 6B_496/2017 du 24 janvier 2018 consid. 2.2).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(art. 110 ch. 4 CP). Le caractère de titre d'un écrit est relatif. Un même document peut revêtir la qualité de titre à l'égard de certains des faits qu'il évoque et ne pas revêtir cette qualité à l'égard d'autres. La destination et l'aptitude d'un écrit à prouver un fait peut résulter directement de la loi, mais aussi du sens ou de la nature du document ou des usages commerciaux (ATF 142 IV 119 consid. 2.2 p. 121 s. ; ATF 138 IV 130 consid. 2.2.1 p. 135 ; ATF 132 IV 57 consid. 5.1 p. 59 ; arrêts du Tribunal fédéral 6B_496/2017 du 24 janvier 2018 consid. 2.2 ; 6B_55/2017 du 24 mars 2017 consid. 2.2). Peu importe, à cet égard, l'usage particulier que l'auteur, avant de l'émettre, prévoyait de faire du titre (ATF 120 IV 122 consid. 4 d/bb p. 129).</w:t>
      </w:r>
    </w:p>
    <w:p>
      <w:r>
        <w:rPr>
          <w:b/>
        </w:rPr>
        <w:t>E. 3.2</w:t>
      </w:r>
    </w:p>
    <w:p>
      <w:r>
        <w:t>En l'espèce, la fausse facture [de l'hôpital] F______ remise à [l'assurance maladie] E______ par l'appelant est un faux matériel qui constitue un titre dans la mesure où cette facture est destinée et propre à prouver que des prestations de soins auraient été octroyées à A______. Le rapport médical du Dr AD______ est également un faux matériel dans la mesure où ce praticien n'existe pas auprès [de l'hôpital] F______ et qu'il contient un contenu mensonger au sujet d'un séjour dans cet hôpital, qu'il tendrait à prouver tout comme le document précédent. Comme retenu par le TP, l'attestation de débit de [la banque] H______ d'un montant de EUR 32'000.- correspondant à un soi-disant retrait pour justifier du versement de la somme [à l'hôpital] F______ apparaît également comme un faux matériel, notamment au vu du logo distinct de celui du premier document censé émaner de ladite banque.</w:t>
      </w:r>
    </w:p>
    <w:p>
      <w:r>
        <w:t>- 24/39 - P/14736/2009 A l'évidence, l'appelant a forgé ou fait forger ces pièces pour les utiliser dans le cadre de sa demande de paiement de prestations indues auprès de E______. La culpabilité de A______ pour faux dans les titres sera ainsi confirmée et l'appel rejeté sur ce point.</w:t>
      </w:r>
    </w:p>
    <w:p>
      <w:r>
        <w:rPr>
          <w:b/>
        </w:rPr>
        <w:t>E. 4</w:t>
      </w:r>
    </w:p>
    <w:p>
      <w:r>
        <w:t>4.1.1.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w:t>
      </w:r>
    </w:p>
    <w:p>
      <w:r>
        <w:t>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(arrêt du Tribunal fédéral 6B_243/2009 du 29 mai 2009 consid. 2.2.2).</w:t>
      </w:r>
    </w:p>
    <w:p>
      <w:r>
        <w:t>Il y a notamment manœuvres frauduleuses lorsque l'auteur fait usage de titres, falsifiés ou obtenus sans droit, voire de documents mensongers. Le caractère astucieux de la tromperie est donc en principe réalisé en présence de titres falsifiés au sens de l'art. 251 CP car on doit pouvoir se fier à leur authenticité dans la vie des affaires (arrêt du Tribunal fédéral 6B_12/2010 du 17 juin 2010 consid. 7.4).</w:t>
      </w:r>
    </w:p>
    <w:p>
      <w:r>
        <w:t>4.1.2.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L'astuce n'est exclue que si la dupe n'a pas procédé aux vérifications élémentaires que l'on pouvait attendre d'elle au vu des circonstances. Une coresponsabilité de la dupe n'exclut l'astuce que dans des cas exceptionnels. Même un degré de naïveté important de la part de la dupe ne conduit pas en tous les cas à l'acquittement du prévenu. Pour apprécier si l'auteur a usé d'astuce et si la dupe a omis de prendre des</w:t>
      </w:r>
    </w:p>
    <w:p>
      <w:r>
        <w:t>- 25/39 - P/14736/2009 mesures de prudence élémentaires, il ne suffit pas de se demander comment une personne raisonnable et expérimentée aurait réagi à la tromperie.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p. 38 ; arrêts du Tribunal fédéral 6B_570/2018 du 20 septembre 2018 consid. 3.1 ; 6B_150/2017 du 11 janvier 2018 consid. 3.3 non publié in ATF 144 IV 52).</w:t>
      </w:r>
    </w:p>
    <w:p>
      <w:r>
        <w:t>Selon la jurisprudence, une fausse annonce de sinistre est, en principe, toujours astucieuse (ATF 143 IV 302 consid. 1.3 et 1.4).</w:t>
      </w:r>
    </w:p>
    <w:p>
      <w:r>
        <w:t>La jurisprudence a eu l'occasion de préciser que le devoir de vérification de la dupe n'est pas illimité, même lorsque celle-ci est une assurance, soit une entité supposée disposer de connaissances professionnelles accrues et faire preuve d'une attention plus élevée dans le traitement de ses affaires (arrêt 6B_593/2009 du 14 septembre 2009 consid. 2.2.3). Ainsi, si on peut exiger des assureurs d'examiner le bien-fondé des demandes de prestations qui leur sont adressées, leur devoir de vérification n'est pas illimité. Selon les circonstances, compte tenu des montants en jeu et du temps nécessaire pour déterminer le caractère justifié des prestations, le coût des investigations peut s'avérer disproportionné (arrêt 6B_50/2017 du 17 octobre 2017 consid. 2.3).</w:t>
      </w:r>
    </w:p>
    <w:p>
      <w:r>
        <w:rPr>
          <w:b/>
        </w:rPr>
        <w:t>E. 4.2</w:t>
      </w:r>
    </w:p>
    <w:p>
      <w:r>
        <w:t>En l'espèce, l'appelant a échafaudé différentes manœuvres frauduleuses pour convaincre E______ de lui verser des prestations indues. Il a en effet transmis initialement à l'assurance une fausse facture de [l'hôpital] F______, accompagnée d'un ordre de paiement de [la banque] H______ d'un montant correspondant à celui dû. L'assurance ne s'est pas contentée de ces pièces mais a demandé à A______ de lui transmettre les éléments permettant d'établir qu'il disposait alors de la somme nécessaire au règlement de la facture ainsi que le débit. Dans ces circonstances, l'appelant a remis à l'assurance de nouvelles pièces forgées pour les besoins de sa cause, répondant ainsi aux interrogations complémentaires de l'assureur, dans le but de le tromper ou le conforter dans son erreur. Par ailleurs, il faut tenir compte du fait que l'appelant a fait état d'un séjour hospitalier dans un pays du Maghreb où les vérifications pouvant être menées par E______ étaient largement moins aisées que dans un pays européen. A cet égard, si certains documents forgés remis par l'appelant à l'assurance sont d'un standard de qualité discutable, comportant notamment des fautes d'orthographe (______ au lieu de ______ [pour la commune de AA______], certificat médicale), on relèvera qu'il n'était pas évident pour un lecteur germanophone de repérer ces éléments, d'autant plus que les standards et usages algériens de traduction en alphabet et nombre latins de documents usuellement écrits en arabe peuvent être de nature à interprétation, vu les différences de culture.</w:t>
      </w:r>
    </w:p>
    <w:p>
      <w:r>
        <w:t>- 26/39 - P/14736/2009 A cela s'ajoute le fait que, comme mentionné par le représentant de E______ devant le MP, la protection juridique AE______ a également représenté l'appelant dans le cadre de la démarche d'obtention des prestations, ce qui ne pouvait qu'être de nature à mettre en confiance la partie plaignante.</w:t>
      </w:r>
    </w:p>
    <w:p>
      <w:r>
        <w:t>Certes, E______ a fait appel à AC______ pour vérifier les éléments liés à cette demande de prestations mais rien ne prouve que cela était dû initialement à une méfiance particulière suscitée chez l'assureur par la demande en paiement de l'appelant plutôt que par un processus routinier de contrôle.</w:t>
      </w:r>
    </w:p>
    <w:p>
      <w:r>
        <w:t>On ne saurait considérer dans le cas d'espèce que les démarches de contrôle et de vérifications de l'assureur aient été aisées et qu'elles devraient être entreprises systématiquement dans tous les cas, vu les éléments apportés successivement par l'appelant en réponse aux demandes de l'assureur. Sans quoi, cela reviendrait à dire qu'aucune confiance ne pourrait être admise avant le rapport d'un enquêteur. Les pièces remises par l'appelant présentaient un sérieux certain et leur fausseté n'était pas aisément décelable dans les circonstances de l'espèce vu le pays où il prétendait avoir été hospitalisé. L'édifice de mensonges qu'il a échafaudé dans le dessein de tromper l'assureur relève donc de l'astuce. L'auteur a accompli l'ensemble des actes devant mener au résultat escompté qui s'est produit. L'appel sera ainsi rejeté et le jugement confirmé sur ce point.</w:t>
      </w:r>
    </w:p>
    <w:p>
      <w:r>
        <w:rPr>
          <w:b/>
        </w:rPr>
        <w:t>E. 5</w:t>
      </w:r>
    </w:p>
    <w:p>
      <w:r>
        <w:t>5.1.1. L'art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Il existe une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 137 IV 326 consid. 3.3.1 p. 328 ; 134 IV 216 consid. 4.1 p. 218 ; arrêts du Tribunal fédéral 6B_160/2017 du 13 décembre 2017 consid. 7.1 ; 6B_306/2017 du 2 novembre 2017 consid. 3.1). On peut songer, notamment, à des cas sévères de violation de domicile, dans lesquels l'auteur empiète, d'une manière susceptible de briser la volonté de la victime, sur d'autres biens juridiques constituant des parties de la liberté personnelle. Il en est ainsi lorsque l'auteur fait usage du</w:t>
      </w:r>
    </w:p>
    <w:p>
      <w:r>
        <w:t>- 27/39 - P/14736/2009 moyen de la violation de domicile afin d'imposer une prétention ou s'il refuse catégoriquement de quitter les locaux d'habitation jusqu'à ce que l'habitant ait accepté cette prétention (A. DONATSCH, Strafrecht III, Delikte gegen den Einzelnen, 10ème éd., Zurich / Bâle / Genève 2013, p. 433).</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6B_70/2016 du 2 juin 2016 consid. 4.3.4 non publié aux ATF 142 IV 315). Certes, faire notifier un commandement de payer lorsqu'on est fondé à réclamer une somme est licite. En revanche, utiliser un tel procédé comme moyen de pression est clairement abusif, donc illicite (cf. ATF 115 III 18 consid. 3, 81 consid. 3b; arrêt 6B_153/2017 du 28 novembre 2017 consid. 3.1).</w:t>
      </w:r>
    </w:p>
    <w:p>
      <w:r>
        <w:t>Sur le plan subjectif, il faut que l'auteur ait agi intentionnellement, c'est-à-dire qu'il ait voulu contraindre la victime à adopter le comportement visé en étant conscient de l'illicéité de son comportement ; le dol éventuel suffit (ATF 120 IV 17 consid. 2c p. 22).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consid. 2.7 p. 270 ;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 ; arrêt du Tribunal fédéral 6B_153/2017 précité).</w:t>
      </w:r>
    </w:p>
    <w:p>
      <w:r>
        <w:t>- 28/39 - P/14736/2009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(arrêt du Tribunal fédéral 6B_1000/2019 du 19 février 2020 consid. 2.1 et les références citées). 5.1.2. Conformément à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Le droit au domicile appartient à la personne qui a le pouvoir de disposer des lieux, en vertu d'un droit contractuel, d'un droit réel ou d'un rapport de droit public (ATF 128 IV 81 consid. 3a p. 84 ; arrêt du Tribunal fédéral 6B_1056/2013 du 20 août 2014 consid. 1.1) ; il peut s'agir d'une personne physique comme d'une personne morale (M. DUPUIS / L. MOREILLON / C. PIGUET / S. BERGER / M. MAZOU / V. RODIGARI, Code pénal - Petit commentaire, 2ème éd., Bâle 2017, n. 5 et 20 ad art. 186). En concluant un contrat de bail, le bailleur renonce à son droit au domicile, de sorte que, pendant la durée du contrat, seul le locataire, respectivement le sous-locataire, dispose de la qualité d'ayant droit au sens de l'art. 186 CP. Au terme du contrat, le droit ne passe pas automatiquement du locataire au propriétaire, celui-là demeurant, aussi longtemps qu'il conserve la maîtrise effective des lieux qu'il occupe, seul titulaire du droit au domicile, droit qui ne cesse donc qu'à son départ. La violation du contrat de bail à loyer par le locataire touche aux prétentions de droit civil du bailleur et du propriétaire, mais n'empiète pas sur la sphère privée qui est l'objet de la liberté de domicile protégé par le droit pénal. Dans de tels cas, le bailleur ne pourra avoir recours qu'aux moyens offerts par la procédure</w:t>
      </w:r>
    </w:p>
    <w:p>
      <w:r>
        <w:t>- 29/39 - P/14736/2009 civile et le droit de la poursuite pour dettes et faillite (ATF 112 IV 31 consid. 3 p. 33 s. ; arrêt du Tribunal fédéral 6B_1056/2013 du 20 août 2014 consid. 1.1 ; M. DUPUIS / L. MOREILLON / C. PIGUET / S. BERGER / M. MAZOU / V. RODIGARI, op. cit., n. 21 ad art. 186). 5.1.3. Conformément à l'art. 144 al. 1 CP, se rend coupable de dommages à la propriété celui qui aura endommagé, détruit ou mis hors d'usage une chose appartenant à autrui ou frappée d'un droit d'usage ou d'usufruit au bénéfice d'autrui et qui sera alors puni d'une peine privative de liberté de trois ans au plus ou d'une peine pécuniaire. L'infraction doit porter sur un objet corporel, mobilier ou immobilier, appartenant à autrui, même si l'auteur en est également copropriétaire (CORBOZ, Les infractions en droit suisse, vol. I, 3ème éd. 2010, n° 4 ad art. 144 CP ; WEISSENBERGER, Basler Kommentar, Strafrecht II, 3ème éd. 2013, n° 11 ad art. 144 CP; arrêt du Tribunal fédéral 6B_719/2015 du 4 mai 2016, consid. 7). Selon la jurisprudence,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(ATF 128 IV 250 consid. 2 p. 252) ou encore en salissant l'uniforme d'un fonctionnaire (arrêts du Tribunal fédéral 6B_348/2012 du 24 octobre 2012, consid. 2.2 et 6B_77/2017 du 16 janvier 2018 consid. 2.1). Le droit de porter plainte appartient au lésé directement atteint par l'infraction, à savoir au titulaire du bien juridiquement protégé par l'infraction (cf. ATF 141 IV 380 consid. 2.3.4 p. 386 et les arrêts cités). L'interprétation de l'infraction en cause permet seule de déterminer quel est le titulaire du bien juridique atteint. S'agissant des dommages à la propriété, le droit de porter plainte n'est pas réservé au seul propriétaire de la chose; il peut être exercé par le locataire ainsi que par toute personne atteinte dans son droit d'user de la chose ou à celui à qui incombe la responsabilité de conserver la chose (ATF 144 IV 49 consid. 1.2 p. 51 ; cf. ATF 118 IV 209 consid. 2 et 3 p. 211 ss ; arrêts du Tribunal fédéral 6B_1297/2017 du 26 juillet 2018 consid. 1.2.1 et 6B_1253/2019 du 18 février 2020 consid. 5.1). 5.1.4.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t>5.1.5. A teneur de l'art. 262 al. 1 de la loi fédérale du 30 mars 1911, complétant le Code civil suisse (CO, Code des obligations ; RS 220), le locataire peut sous-louer tout ou partie de la chose avec le consentement du bailleur.</w:t>
      </w:r>
    </w:p>
    <w:p>
      <w:r>
        <w:t>- 30/39 - P/14736/2009</w:t>
      </w:r>
    </w:p>
    <w:p>
      <w:r>
        <w:t>La loi ne prescrit, en principe, aucune forme pour le contrat de bail et le contrat de sous-location qui peuvent aussi être conclus oralement. Le consentement du bailleur à la sous-location ne constitue pas une condition de validité de celle-ci et la résiliation du bail principal n'affecte pas directement le rapport de sous-location qui n'est pas automatiquement résilié, le locataire devant à son tour résilier le bail de son sous-locataire, en respectant les formalités légales. Toutefois, le contrat de sous- location ne peut perdurer au-delà du bail principal. A l'échéance de celui-ci, le bailleur peut demander l'expulsion du sous-locataire auprès de l'autorité de conciliation, puis du juge. Le locataire répond envers le bailleur de tous les faits dommageables du sous-locataire, comme par exemple du fait que le sous-locataire tarde à libérer les locaux à la fin du bail principal (F. BOHNET / B. CARRON / M. MONTINI, Droit du bail à loyer et à ferme, 2e éd., Bâle 2017, n. 20, 24, 47 ss, 62 et 74 ad art. 262 ; D. LACHAT, Le bail à loyer, nouv. éd., Lausanne 2008, p. 179, 573 ss, 578 et 580 s.).</w:t>
      </w:r>
    </w:p>
    <w:p>
      <w:r>
        <w:t>5.2.1. En l'espèce, il est établi que A______ a sous-loué tant à I______ qu'à J______ et K______ l'appartement de la rue 1______, respectivement celui de la rue 2______, de sorte que ces derniers avaient seuls acquis la qualité d'ayant-droits. L'appelant, en faisant appel à un serrurier pour changer les cylindres des portes des logements alors que I______, J______ ou K______ étaient absents, a pénétré dans l'appartement de ceux-ci sans droit et les a empêchés d'accéder eux-mêmes aux logements sous-loués, les obligeant à quitter les lieux, tout en portant atteinte à l'état de la porte des logements d'une façon qui n'était pas immédiatement réversible. Or, le droit au domicile n'était aucunement passé à l'appelant, tant que les plaignants conservaient la maîtrise des locaux. En tant que bailleur des logements à ses sous-locataires, l'appelant, après avoir formellement résilié le contrat qui les liait aux plaignants et leur avoir adressé une commination ou fixé un délai afin d'évacuer le logement, ne pouvait que demander leur expulsion auprès de l'autorité de conciliation, puis du juge, s'il entendait récupérer les locaux.</w:t>
      </w:r>
    </w:p>
    <w:p>
      <w:r>
        <w:t>Ainsi, l'appelant a cherché à utiliser illicitement du moyen de la violation de domicile pour expulser les plaignants de leur logement, mettant ainsi, de fait, un terme aux contrats de sous-location. Même s'il avait valablement résilié le bail de ses sous- locataires, ce qui n'est pas établi, l'appelant aurait dû faire appel au conciliateur, puis au juge et ne pas mettre I______, J______ ou K______ devant le fait accompli.</w:t>
      </w:r>
    </w:p>
    <w:p>
      <w:r>
        <w:t>L'appelant ne saurait se prévaloir du fait que ce sont ses sous-locataires qui ont, les premiers, changé les cylindres des portes des logements, par ailleurs suite aux demandes des régies à teneur du dossier. En effet, d'une part, étant lui-même locataire principal, il n'avait aucun droit préférentiel, par rapport au propriétaire, à installer sa propre serrure. En outre, tout ce qu'il aurait pu exiger des sous-locataires, à leur départ, était la remise en état de la chose louée, ce qui pouvait, le cas échéant, inclure les serrures originales ou une indemnisation. En aucun cas, il n'était par contre autorisé à agir de force, comme il l'a fait.</w:t>
      </w:r>
    </w:p>
    <w:p>
      <w:r>
        <w:t>- 31/39 - P/14736/2009</w:t>
      </w:r>
    </w:p>
    <w:p>
      <w:r>
        <w:t>Conformément à l'acte d'accusation et au jugement du TP, l'appelant s'est ainsi rendu coupable de contrainte envers I______, J______ et K______ en portant atteinte à leur liberté dès lors que, suite à ses agissements, ces derniers ont dû modifier leur comportement d'user de leurs prérogatives d'ayant-droits des locaux. Il s'est également rendu coupable de violation de domicile envers J______ et K______ ainsi que de dommages à la propriété, dans la mesure où il est établi qu'après changement du cylindre de la porte, ce qui a endommagé cette dernière en vertu du droit d'usage de la chose, il a pénétré dans leur logement en le vidant d'effets appartenant aux plaignantes, se rendant par la même coupable de vol. L'appel sera dès lors rejeté et le jugement confirmé sur ces différents points. 5.2.2. La plaignante L______ a été mise sous pression par le commandement de payer que lui a fait notifier l'appelant et elle a décrit les inconvénients que cela lui a causé, ne pouvant notamment plus obtenir d'attestation de non poursuite. Elle a déposé plainte et pour être entendue, elle a dû notamment faire lever son secret professionnel de juge. En dernier lieu, l'appelant soutient avoir agi par chicanerie, sans avoir eu l'intention d'obtenir le paiement de la somme réclamée.</w:t>
      </w:r>
    </w:p>
    <w:p>
      <w:r>
        <w:t>Bien que l'appelant a maintenu devant le MP que L______ était une vieille connaissance et devant la CPAR qu'un prêt avait été consenti, il est cependant douteux qu'il ait concrètement envisagé de pouvoir toucher une somme d'argent et il est nettement plus vraisemblable qu'il voulait causer des problèmes à L______ dans la mesure où aucune démarche n'a suivi la notification du commandement de payer. Dans ce contexte, s'il est certain qu'il a poursuivi un but illicite envers L______ et qu'elle a subi des inconvénients découlant de la procédure de poursuite, qui l'a touchée de façon substantielle dans sa liberté de décision ou d'action, l'acte d'accusation ne retient qu'une tentative de contrainte dans le but exclusif d'obtenir le paiement de la somme de CHF 96'000.- plus intérêts, ce qui n'apparaît pas réalisé dans les circonstances de l'espèce.</w:t>
      </w:r>
    </w:p>
    <w:p>
      <w:r>
        <w:t>Il s'ensuit que l'appelant sera acquitté sur ce point, le jugement étant dès lors réformé.</w:t>
      </w:r>
    </w:p>
    <w:p>
      <w:r>
        <w:rPr>
          <w:b/>
        </w:rPr>
        <w:t>E. 6.1</w:t>
      </w:r>
    </w:p>
    <w:p>
      <w:r>
        <w:t>L'art. 303 ch. 1 al. 1 CP réprime le comportement de celui qui aura dénoncé à l'autorité, comme auteur d'un crime ou d'un délit, une personne qu'il savait innocente, en vue de faire ouvrir contre elle une poursuite pénale. Sur le plan objectif, l'art. 303 ch. 1 al. 1 CP exige une communication, écrite ou orale, visant une personne déterminée, ou à tout le moins déterminable, portant sur la commission par cette dernière d'une infraction réprimée par la loi pénale, qu'il s'agisse d'un crime (art. 10 al. 2 CP) ou d'un délit (art. 10 al. 3 CP), qu'elle n'a en réalité pas commis (ATF 132 IV 20 consid. 4.2 p. 25).</w:t>
      </w:r>
    </w:p>
    <w:p>
      <w:r>
        <w:t>- 32/39 - P/14736/2009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66 bis aCP (art. 54 CP), cela n'empêche pas le juge appelé à statuer sur l'infraction de dénonciation calomnieuse, de statuer à nouveau sur la culpabilité de la personne dénoncée (ATF 136 IV 170 consid. 2.1 p. 175 s. et les références citées ; arrêts du Tribunal fédéral 6B_1003/2017 du 20 août 2018 consid. 4.2 et 6B_1289/2018 du 20 février 2019, consid. 1.2 ss).</w:t>
      </w:r>
    </w:p>
    <w:p>
      <w:r>
        <w:rPr>
          <w:b/>
        </w:rPr>
        <w:t>E. 6.2</w:t>
      </w:r>
    </w:p>
    <w:p>
      <w:r>
        <w:t>En l'espèce, il est certain que l'appelant, dans le but de paralyser l'action des policiers concernés et leur causer du tort, a porté plainte contre l'intimé et M______ en dénonçant des faits qu'il savait faux, tel que cela ressort de l'enquête menée par l'IGS, la procédure ouverte contre ces derniers ayant été classée par la suite. Il sera donc reconnu coupable de dénonciation calomnieuse et son appel rejeté.</w:t>
      </w:r>
    </w:p>
    <w:p>
      <w:r>
        <w:rPr>
          <w:b/>
        </w:rPr>
        <w:t>E. 7</w:t>
      </w:r>
    </w:p>
    <w:p>
      <w:r>
        <w:t>7.1.1. Le nouveau droit des sanctions n'étant in concreto pas plus favorable à l'appelant, il n'en sera pas fait application (art. 2 al. 2 CP). 7.1.2.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w:t>
      </w:r>
    </w:p>
    <w:p>
      <w:r>
        <w:t>- 33/39 - P/14736/2009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 7.1.3.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w:t>
      </w:r>
    </w:p>
    <w:p>
      <w:r>
        <w:t>- 34/39 - P/14736/2009 7.1.4.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7.1.5. Selon l'art. 46 al. 5 CP, en cas d'échec de la mise à l'épreuve, la révocation ne peut plus être ordonnée lorsque trois ans se sont écoulés depuis l'expiration du délai d'épreuve. 7.2.1. En l'espèce, les infractions les plus graves dont l'appelant est reconnu coupable sont l'escroquerie, le faux dans les titres et le vol, toutes trois punissables d'une peine privative de liberté de cinq ans au plus. De ces trois infractions, la plus grave est l'escroquerie commise au détriment de E______ qui, à elle seule, mérite le prononcé d'une sanction de 180 unités pénales, à tout le moins. En effet, durant plusieurs mois, l'appelant a persévéré dans son projet délictuel forgeant et utilisant successivement, pour atteindre son but, des faux et obtenant au final une somme importante de la partie plaignante. Dans ce contexte, une fois les faits découverts, sa collaboration a été exécrable et il n'a jamais admis ceux-ci en faisant preuve d'aucune prise de conscience. Quant aux faux établis, il conviendrait d'aggraver la peine d'à tout le moins 90 unités pénales. De surcroît, l'appelant a encore commis de multiples infractions, soit contre le patrimoine, la liberté personnelle et de domicile ainsi que l'honneur au détriment de plusieurs plaignants et sur une longue période. Il n'a pas hésité à porter des accusations contre ceux-là mêmes qui se plaignaient de ses agissements et contre la police, ce qui témoigne d'une indifférence totale par rapport à ses actes et leurs conséquences pour les tiers. Ces différentes infractions alourdiraient encore la peine à prononcer, la portant au-delà de 12 mois, même en tenant compte de l'acquittement de la tentative de contrainte au détriment de L______. La situation personnelle de A______ était relativement bonne. Il bénéficiait d'un revenu régulier, sans charge de famille. Certes, son trouble de personnalité doit être pris en compte et allège quelque peu sa faute globale. Cependant, sa responsabilité reste entière. Dans ce contexte, vu l'absence de toute prise de conscience et de collaboration, la multiplicité des actes et des biens</w:t>
      </w:r>
    </w:p>
    <w:p>
      <w:r>
        <w:t>- 35/39 - P/14736/2009 juridiques atteints, de même que le nombre de victimes, ceci sur une longue période pénale, seule une peine privative de liberté d'une importance certaine entre en ligne de compte. Bien que la CPAR considère qu'une peine plus lourde que celle décidée par le TP eût ainsi dû être prononcée, l'interdiction de la reformatio in pejus vu l'absence d'appel du MP, limite la peine à prononcer à la quotité retenue par le TP. La question de l'octroi du sursis ne se pose pas, celui étant acquis à l'appelant. L'appel sera ainsi rejeté sur ce point, le jugement étant confirmé. 7.2.2. En raison de l'écoulement du temps, la révocation du sursis de cinq ans octroyé le 21 décembre 2006 par la CPAR à la peine d'emprisonnement de 10 mois n'est plus envisageable. L'appel sera dès lors admis sur ce point et le jugement réformé.</w:t>
      </w:r>
    </w:p>
    <w:p>
      <w:r>
        <w:rPr>
          <w:b/>
        </w:rPr>
        <w:t>E. 8.1</w:t>
      </w:r>
    </w:p>
    <w:p>
      <w:r>
        <w:t>Il n'y a pas lieu de revoir les frais de la procédure de première instance dès lors que l'appelant est reconnu coupable des faits qui lui sont reprochés (art. 426 al. 1 et art. 428 al. 3 CPP).</w:t>
      </w:r>
    </w:p>
    <w:p>
      <w:r>
        <w:rPr>
          <w:b/>
        </w:rPr>
        <w:t>E. 8.2</w:t>
      </w:r>
    </w:p>
    <w:p>
      <w:r>
        <w:t>En appel, succombant quasiment intégralement sur le plan de la culpabilité et n'obtenant gain de cause que partiellement sur celui de la peine, pour un motif non plaidé, l'appelant sera condamné aux quatre cinquièmes des frais de la procédure envers l'Etat, qui comprendront un émolument de décision de CHF 2'000.- (art. 428 CPP et art. 14 al. 1 let. e du règlement fixant le tarif des frais en matière pénale [RTFMP ; RSG E 4 10.03]).</w:t>
      </w:r>
    </w:p>
    <w:p>
      <w:r>
        <w:rPr>
          <w:b/>
        </w:rPr>
        <w:t>E. 9</w:t>
      </w:r>
    </w:p>
    <w:p>
      <w:r>
        <w:t>9.1.1.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w:t>
      </w:r>
    </w:p>
    <w:p>
      <w:r>
        <w:t>- 36/39 - P/14736/2009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9.1.2.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rPr>
          <w:b/>
        </w:rPr>
        <w:t>E. 9.2</w:t>
      </w:r>
    </w:p>
    <w:p>
      <w:r>
        <w:t>En l'occurrence, deux avocats d'office sont intervenus, dont l'un a été désigné au stade de l'appel seulement. L'état de frais présenté par Me AH______ apparaît conforme. L'indemnité qui lui sera allouée sera donc arrêtée à CHF 750.- plus 20% (CHF 150.-) et la TVA (CHF 69.30), soit CHF 969.30 au total. S'agissant de Me C______, la CPAR estime que l'étude du dossier et la préparation de l'audience par le stagiaire n'exigeaient pas le nombre d'heures de recherches mentionné, compte tenu de l'activité de neuf heures déjà développée par le maître de stage. Elle sera donc réduite à deux heures pour le stagiaire. L'indemnité accordée sera ainsi basée sur 12 heures pour le défenseur d'office, auxquelles il conviendra d'ajouter les deux heures et 50 minutes de présence à l'audience d'appel, outre les deux heures consacrées précitées par le stagiaire, plus la majoration forfaitaire de 20%, la vacation à l'audience et la TVA.</w:t>
      </w:r>
    </w:p>
    <w:p>
      <w:r>
        <w:t>En conclusion, l'indemnité sera arrêtée à CHF 4'226.15, correspondant à 14 heures et 50 minutes d'activité au tarif de CHF 200.-/heure (CHF 2'966.65), plus deux heures à CHF 110.- (CHF 220.-), plus la majoration forfaitaire de 20% (CHF 637.35), l'équivalent de la TVA au taux de 7.7% (CHF 302.15) et CHF 100.- à titre de vacation au Palais de justice. * * * * *</w:t>
      </w:r>
    </w:p>
    <w:p>
      <w:r>
        <w:t>- 37/39 - P/14736/2009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