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AARP/276/2016 vom 24. Juni 2016</w:t>
      </w:r>
    </w:p>
    <w:p>
      <w:r>
        <w:t>GE Cour de justice, 2016-06-24, FR</w:t>
      </w:r>
    </w:p>
    <w:p>
      <w:r>
        <w:rPr>
          <w:b/>
        </w:rPr>
        <w:t xml:space="preserve">Quelle: </w:t>
      </w:r>
      <w:r>
        <w:t>https://mcp.opencaselaw.ch/entscheid/ge_gerichte_AARP_276_2016</w:t>
      </w:r>
    </w:p>
    <w:p>
      <w:r>
        <w:t>FR: GE_GERICHTE AARP/276/2016 du 24 juin 2016</w:t>
      </w:r>
    </w:p>
    <w:p>
      <w:r>
        <w:t>IT: GE_GERICHTE AARP/276/2016 del 24 giugno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À teneur de l'art. 115 al. 1 let. b LEtr, est puni d'une peine privative de liberté d'un an au plus ou d'une peine pécuniaire quiconque séjourne illégalement en Suisse, notamment après l'expiration de la durée du séjour non soumis à autorisation ou du séjour non autorisé. Le séjour illégal est un délit continu. La condamnation en raison de ce délit opère une césure, de sorte que le fait pour le prévenu de perpétuer sa situation irrégulière après le prononcé d'un premier jugement constitue un acte indépendant permettant une nouvelle condamnation à raison des faits non couverts par le premier jugement,</w:t>
      </w:r>
    </w:p>
    <w:p>
      <w:r>
        <w:t>- 6/13 - P/6841/2015 en conformité du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w:t>
      </w:r>
    </w:p>
    <w:p>
      <w:r>
        <w:t>2.1.2.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w:t>
      </w:r>
    </w:p>
    <w:p>
      <w:r>
        <w:t>- 7/13 - P/6841/2015 la police des étrangers sur sa volonté de quitter la Suisse (arrêt du Tribunal fédéral 6B_713/2012 du 19 avril 2013 consid. 5). Conformément à cette jurisprudence, la CPAR a jugé qu'une peine privative de liberté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La CPAR ne peut que se rallier à cette jurisprudence (cf. AARP/31/2016 du 2 février 2016), même s'il n'est pas nécessairement manifeste qu'une peine pécuniaire puisse entraver une procédure de retour au même titre qu'une peine d'emprisonnement ni que l'impossibilité d'infliger l'une ou l'autre de ces deux sanctions doive aboutir à un acquittement, plutôt qu'à une exemption de peine. 2.1.3. La punissabilité du séjour irrégulier selon l'art. 115 al. 1 let b. LEtr suppose enfin que l'étranger ne se trouve pas dans l'impossibilité – par exemple en raison d'un refus du pays d'origine d'admettre le retour de leurs ressortissants ou de délivrer des papiers d'identité – de quitter la Suisse et de rentrer légalement dans son pays d'origine (arrêt du Tribunal fédéral 6B_320/2013 du 29 août 2013 consid. 2.1. et les références citées).</w:t>
      </w:r>
    </w:p>
    <w:p>
      <w:r>
        <w:rPr>
          <w:b/>
        </w:rPr>
        <w:t>E. 2.2</w:t>
      </w:r>
    </w:p>
    <w:p>
      <w:r>
        <w:t>En l'espèce, l'appelant admet avoir séjourné en Suisse du 25 août 2013 au 7 avril 2015 et du 4 juin au 5 octobre 2015, sans être au bénéfice des autorisations nécessaires, démuni de papiers d'identité, de domicile fixe et de moyens d'existence, comportement constitutif de séjour illégal au sens de l'art. 115 al. 1 let. b LEtr. L'appelant n'étant poursuivi que pour cette seule infraction, la Directive européenne sur le retour trouve ici application, ainsi que la jurisprudence du Tribunal fédéral y relative. L'appelant fait l'objet d'une décision de renvoi exécutoire – dont la date ne ressort pas du dossier – et d'une interdiction d'entrée sur le territoire suisse d'une durée indéterminée. Il se dit de nationalité irakienne, est démuni de papiers d'identité et n'a jamais entrepris la moindre démarche en vue d'obtenir un acte d'état civil permettant d'établir sa nationalité. Il n'a pas été possible de vérifier la véracité de ses</w:t>
      </w:r>
    </w:p>
    <w:p>
      <w:r>
        <w:t>- 8/13 - P/6841/2015 déclarations relatives à ses origines, au décès de ses parents ou à son absence d'attaches avec l'Irak. Il lui aurait pourtant été loisible de fournir des documents à ce sujet, notamment en acceptant d'être mis en contact avec les organismes susceptibles de l'assister pour son départ, ce qu'il a refusé. L'appelant ne prétend pas non plus que les autorités irakiennes auraient refusé de lui délivrer des papiers d'identité. Il reconnaît, au contraire, n'avoir formulé aucune demande en vue de son retour dans son pays d'origine. Il n'apparaît d'ailleurs nullement disposé à collaborer à cette fin avec les autorités de migration, s'illustrant par un comportement passif et délinquant depuis plus de dix ans. Bien qu'il disposât, à l'automne 2015, de moyens pour financer des démarches en ce sens, il n'entend pas quitter la Suisse, ce que démontrent ses déclarations au cours de la procédure. Durant la période pénale, les renvois forcés ont été suspendus dans certaines zones de l'Irak seulement, les renvois volontaires demeurant possibles dans tout le pays. La mention d'un "début soutien à l'exécution du renvoi" et d'une "obtention de documents" dans le système SYMIC en 2009 suggèrent qu'en l'espèce, l'exécution du renvoi était matériellement possible. Il n'existait donc aucun empêchement extérieur au retour de l'appelant dans son pays d'origine. L'appelant est ainsi bien le seul responsable de la situation créée. Ce nonobstant, on peut douter du fait que les autorités administratives du canton de Genève aient procédé à toutes les démarches en vue d'exécuter le renvoi de A______, en recourant, en particulier, aux mesures de contrainte prévues par les art. 73 à 78 LEtr, dont on ne trouve trace ni dans le système SYMIC, ni au dossier. Dans ces conditions, on ne peut considérer que la procédure de renvoi a été menée jusqu'à son terme, sans succès, la seule absence de collaboration de l'appelant à son renvoi n'étant pas suffisante. Sa condamnation n'apparaît donc pas possible, si l'on s'en tient aux considérants de l'arrêt du Tribunal 6B_1172/2014 du 23 novembre 2015. Pour ces motifs, l'appelant sera acquitté du chef d'accusation de séjour illégal et le jugement entrepris modifié sur ce point.</w:t>
      </w:r>
    </w:p>
    <w:p>
      <w:r>
        <w:rPr>
          <w:b/>
        </w:rPr>
        <w:t>E. 3</w:t>
      </w:r>
    </w:p>
    <w:p>
      <w:r>
        <w:t>Vu l'issue de la procédure, les frais de première instance et d'appel seront laissés à la charge de l'État (art. 426 al. 1 a contrario, 428 al. 1 ab initio et 428 al. 3 CPP).</w:t>
      </w:r>
    </w:p>
    <w:p>
      <w:r>
        <w:rPr>
          <w:b/>
        </w:rPr>
        <w:t>E. 4</w:t>
      </w:r>
    </w:p>
    <w:p>
      <w:r>
        <w:t>4.1.1.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w:t>
      </w:r>
    </w:p>
    <w:p>
      <w:r>
        <w:t>- 9/13 - P/6841/2015 principe droit à une indemnité selon l'art. 429 CPP (ATF 137 IV 352 consid. 2.4.2 p. 357).</w:t>
      </w:r>
    </w:p>
    <w:p>
      <w:r>
        <w:t>Selon l'art. 429 al. 1 CPP, le prévenu acquitté totalement ou en partie a notamment droit à une indemnité pour les dépenses occasionnées par l'exercice raisonnable de ses droits de procédure (let. a) et à une réparation du tort moral en cas de privation de liberté (let. c). L'autorité pénale examine d'office les prétentions du prévenu (al. 2). Il incombe à l'autorité pénale, à tout le moins, d'interpeller le prévenu sur cette question et, comme le prévoit la loi, de lui enjoindre, au besoin, de chiffrer et justifier ses prétentions en indemnisation (arrêts du Tribunal fédéral 6B_472/2012 du 13 novembre 2012 consid. 2.1 et 6B_661/2013 du 10 juin 2014 consid. 3.1.). Le prévenu doit émettre des prétentions d'indemnisation, soit expressément – notamment dans les conclusions de son recours ou le corps de ses écritures –, voire implicitement – comme ses explications pourraient le laisser entendre, par exemple s'il agissait en personne –, à défaut de quoi la question ne saurait être abordée (ACPR/379/2012 du 18 septembre 2012 ; ACPR/282/2013 du 18 juin 2013). 4.1.2. L'indemnité prévue à l'art. 429 al. 1 let. a CPP concerne les dépenses du prévenu pour un avocat de choix, ceux de la défense d'office relevant des frais de procédure en vertu de l'art. 422 al. 2 let. a CPP (ATF 138 IV 205 consid. 1 ; arrêt du Tribunal fédéral 6B_144/2012 du 16 août 2012 consid. 1.2 ; M. NIGGLI / M. HEER / H. WIPRÄCHTIGER, Schweizerische Strafprozessordnung / Schweizerische Jugendstrafprozessordnung, Basler Kommentar StPO/JStPO, 2ème éd. Bâle 2014, n. 12 ad art. 429 ; ACPR/41/2012 du 30 janvier 2012). Elle couvre en particulier les honoraires d'avocat, à condition que le recours à celui-ci procède d'un exercice raisonnable des droits de procédure.</w:t>
      </w:r>
    </w:p>
    <w:p>
      <w:r>
        <w:t>4.2.1. Le principe d'une indemnisation de ses frais de défense est acquis à l'appelant, vu l'issue de la procédure. Le caractère raisonnable du recours à un avocat ne fait pas de doute, nonobstant le refus du Ministère public d'en nommer un d'office (supra, consid. E. a.).</w:t>
      </w:r>
    </w:p>
    <w:p>
      <w:r>
        <w:t>La modeste indemnité articulée est justifiée pour couvrir les dépenses occasionnées par l'exercice raisonnable de ses droits de procédure, si bien qu'elle sera allouée à hauteur de CHF 387.-, TVA à 8% incluse.</w:t>
      </w:r>
    </w:p>
    <w:p>
      <w:r>
        <w:t>4.2.2. Dûment interpellé, l'appelant n'a pas émis de prétentions en indemnisation pour la détention subie à tort, de sorte que la question ne se pose pas.</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w:t>
      </w:r>
    </w:p>
    <w:p>
      <w:r>
        <w:t>- 10/13 - P/6841/2015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Ainsi, sont en principe inclus dans le forfait les documents ne nécessitant pas ou peu de motivation ou autre investissement particulier en termes de travail juridique, telle l'annonce d'appel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w:t>
      </w:r>
    </w:p>
    <w:p>
      <w:r>
        <w:t>- 11/13 - P/6841/2015 supplémentaire (AARP/295/2015 du 12 juillet 2015 consid. 8.1.4.1 et 8.3.1.1 ; AARP/209/2015 du 4 mai 2015 consid. 13.4).</w:t>
      </w:r>
    </w:p>
    <w:p>
      <w:r>
        <w:rPr>
          <w:b/>
        </w:rPr>
        <w:t>E. 5.3</w:t>
      </w:r>
    </w:p>
    <w:p>
      <w:r>
        <w:t>À la lecture des postes de l'état de frais produit par Me B______, défenseur d'office de l'appelant, il apparaît que doivent en être retranchées 25 minutes consacrées à l'annonce d'appel et la déclaration d'appel, prestations comprises dans le forfait pour l'activité diverse.</w:t>
      </w:r>
    </w:p>
    <w:p>
      <w:r>
        <w:t>Le tarif horaire sera en outre ramené à CHF 200.-/heure pour le chef d'étude, respectivement CHF 65.-/heure pour le stagiaire. L'activité déployée par le défenseur d'office de l'appelant est, au surplus, en adéquation avec la nature et la difficulté de la cause.</w:t>
      </w:r>
    </w:p>
    <w:p>
      <w:r>
        <w:t>En conclusion, l'indemnité sera arrêtée à CHF 706.32, correspondant à 01h45 d'activité au tarif de CHF 200.-/heure et 03h00 d'activité à CHF 65.-/heure, plus la majoration forfaitaire de 20% (CHF 109.-), vu l'activité déployée en première instance, et la TVA à 8% (CHF 52.32). * * * * *</w:t>
      </w:r>
    </w:p>
    <w:p>
      <w:r>
        <w:t>- 12/13 - P/6841/2015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