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AARP/272/2017 vom 25. August 2017</w:t>
      </w:r>
    </w:p>
    <w:p>
      <w:r>
        <w:t>GE Cour de justice, 2017-08-25, FR</w:t>
      </w:r>
    </w:p>
    <w:p>
      <w:r>
        <w:rPr>
          <w:b/>
        </w:rPr>
        <w:t xml:space="preserve">Quelle: </w:t>
      </w:r>
      <w:r>
        <w:t>https://mcp.opencaselaw.ch/entscheid/ge_gerichte_AARP_272_2017</w:t>
      </w:r>
    </w:p>
    <w:p>
      <w:r>
        <w:t>FR: GE_GERICHTE AARP/272/2017 du 25 août 2017</w:t>
      </w:r>
    </w:p>
    <w:p>
      <w:r>
        <w:t>IT: GE_GERICHTE AARP/272/2017 del 25 agosto 2017</w:t>
      </w:r>
    </w:p>
    <w:p>
      <w:pPr>
        <w:pStyle w:val="Heading2"/>
      </w:pPr>
      <w:r>
        <w:t>Erwägungen</w:t>
      </w:r>
    </w:p>
    <w:p>
      <w:r>
        <w:rPr>
          <w:b/>
        </w:rPr>
        <w:t>E. 1</w:t>
      </w:r>
    </w:p>
    <w:p>
      <w:r>
        <w:t>L'appel est recevable pour avoir été interjeté et motivé selon la forme et dans les délais prescrits (art. 398 et 399).</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- 8/14 - P/314/2017</w:t>
      </w:r>
    </w:p>
    <w:p>
      <w:r>
        <w:rPr>
          <w:b/>
        </w:rPr>
        <w:t>E. 2.1</w:t>
      </w:r>
    </w:p>
    <w:p>
      <w:r>
        <w:t>Selon l'art. 66a al. 1 CP, le juge expulse de Suisse l'étranger qui est condamné pour vol (art. 139 CP) en lien avec une violation de domicile (art. 186 CP), quelle que soit la quotité de la peine prononcée à son encontre, pour une durée de cinq à quinze ans (let. d).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(OARP/12/2017 du 7 février 2017 consid. 2.4.4 ; arrêt du Tribunal fédéral 2C_695/2016 du 1er décembre 2016 consid. 5.2). Seule l'existence d'atteintes graves aux droits personnels peut justifier l'exception à l'expulsion obligatoire (Petit Commentaire du Code pénal, Michel DUPUIS et al., 2e éd., Bâle 2017, note 7 ad art 66a). Dans un arrêt PAPOSHVILI c/ Belgique du 13 décembre 2016 (Grande Chambre, requête no 41738/10), la Cour européenne des droits de l'homme a considéré que l'expulsion d'un criminel gravement malade (atteint notamment d'une leucémie avec pronostic vital engagé et d'une hépatite C) vers la Géorgie était contraire à l'art. 3 de la Convention de sauvegarde des droits de l’homme et des libertés fondamentales du</w:t>
      </w:r>
    </w:p>
    <w:p>
      <w:r>
        <w:rPr>
          <w:b/>
        </w:rPr>
        <w:t>E. 2.2</w:t>
      </w:r>
    </w:p>
    <w:p>
      <w:r>
        <w:t>L'appelant ayant été définitivement condamné pour vol en lien avec une violation de domicile, son expulsion est obligatoire, en application de l'art. 66a al. 1 let. d CP, ce qu'il ne conteste pas. Agé de 37 ans, l'appelant ne séjourne en Suisse que depuis fin 2010. Alors qu'il avait demandé l'asile à deux reprises et avait été attribué au canton de Thurgovie, il est venu résider à Genève, de sorte que ses demandes ont été radiées, ce qui a pour</w:t>
      </w:r>
    </w:p>
    <w:p>
      <w:r>
        <w:t>- 9/14 - P/314/2017 conséquence que, contrairement à ses déclarations, il ne peut plus être aujourd'hui au bénéfice d'un permis N (admission provisoire), document qu'il n'a d'ailleurs pas été en mesure de produire. Il est, comme l'ont indiqué les autorités thurgoviennes, sans autorisation de séjour en Suisse, donc en situation illégale. Il est célibataire, sans enfant. Aucun membre de sa famille ne se trouve en Suisse, pays dans lequel il n'a aucune attache et n'est aucunement intégré, comme en témoignent les très nombreuses condamnations prononcées depuis 2011 à son encontre, pour des infractions contre le patrimoine, la législation sur le séjour des étrangers et l'intégrité corporelle. Il est démuni de papiers d'identité, de domicile et de moyens d'existence. Il a été libéré après avoir passé les sept premiers mois de l'année 2017 en prison. Compte tenu de sa situation, notamment administrative, tout porte à croire qu'il y aura récidive de comportements délictueux. Enfin, il n'a aucunement documenté les affections alléguées à un genou et un poignet, lesquelles paraissent par ailleurs pouvoir faire l'objet de soins dans son pays. Une expulsion n'aura donc pas pour effet de créer pour l'appelant une situation grave au sens de l'art. 66a al. 2 CP. En conclusion, l'intérêt public au renvoi de l'appelant en Algérie prime sur son intérêt à rester en Suisse. Les conditions d'une renonciation à l'expulsion ne sont pas réalisées. A cela s'ajoute que la question de la mise en œuvre de l'expulsion et de son report éventuel échappe à la compétence du juge (art. 66d CP et 18 du Règlement sur l'exécution des peines privatives de liberté et des mesures concernant les adultes et les jeunes adultes [RS-GE – E 4 55.05 – REPPL], ATF 116 IV 105 consid. 4). Ainsi, de possibles difficultés dans l'exécution du renvoi, le moment venu, ne sont pas de nature à empêcher le prononcé de la mesure. Au vu de ce qui précède, une expulsion de l'appelant pour cinq ans, durée minimale prévue par la loi, est adéquate et proportionnée aux circonstances évoquées ci-dessus, de sorte que la décision du premier juge doit être confirmée. 3. L'appelant, qui succombe, supportera les frais de la procédure envers l'Etat (art. 428 CPP), comprenant un émolument de CHF 1'000.- (art. 14 al. 1 let. e du Règlement fixant le tarif des frais en matière pénale du 22 décembre 2010 [RTFMP - E 4 10.03]).</w:t>
      </w:r>
    </w:p>
    <w:p>
      <w:r>
        <w:t>- 10/14 - P/314/2017</w:t>
      </w:r>
    </w:p>
    <w:p>
      <w:r>
        <w:rPr>
          <w:b/>
        </w:rPr>
        <w:t>E. 4</w:t>
      </w:r>
    </w:p>
    <w:p>
      <w:r>
        <w:t>novembre 1950 (CEDH - RS 0.101).</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4.2.1.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w:t>
      </w:r>
    </w:p>
    <w:p>
      <w:r>
        <w:t>- 11/14 - P/314/2017 possibles, charge à l'avocat de justifier l'ampleur d'opérations dont la couverture ne serait pas assurée par le forfait.</w:t>
      </w:r>
    </w:p>
    <w:p>
      <w:r>
        <w:rPr>
          <w:b/>
        </w:rPr>
        <w:t>E. 4.3</w:t>
      </w:r>
    </w:p>
    <w:p>
      <w:r>
        <w:t>En l'occurrence, l'état de frais déposé par Me B______ est conforme aux principes rappelés ci-dessus.</w:t>
      </w:r>
    </w:p>
    <w:p>
      <w:r>
        <w:t>L'indemnité allouée sera de CHF 1'425.60 (5h30 à CHF 200.- plus le forfait de 20% et la TVA à 8%).</w:t>
      </w:r>
    </w:p>
    <w:p>
      <w:r>
        <w:t>* * * * *</w:t>
      </w:r>
    </w:p>
    <w:p>
      <w:r>
        <w:t>- 12/14 - P/314/2017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