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AARP/271/2020 vom 3. August 2020</w:t>
      </w:r>
    </w:p>
    <w:p>
      <w:r>
        <w:t>GE Cour de justice, 2020-08-03, FR</w:t>
      </w:r>
    </w:p>
    <w:p>
      <w:r>
        <w:rPr>
          <w:b/>
        </w:rPr>
        <w:t xml:space="preserve">Quelle: </w:t>
      </w:r>
      <w:r>
        <w:t>https://mcp.opencaselaw.ch/entscheid/ge_gerichte_AARP_271_2020</w:t>
      </w:r>
    </w:p>
    <w:p>
      <w:r>
        <w:t>FR: GE_GERICHTE AARP/271/2020 du 3 août 2020</w:t>
      </w:r>
    </w:p>
    <w:p>
      <w:r>
        <w:t>IT: GE_GERICHTE AARP/271/2020 del 3 agosto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 présomption d'innocence, garantie par l'art. 6 ch. 2 de la Convention de sauvegarde des droits de l'homme et des libertés fondamentales (CEDH) et, sur le plan interne, par les art. 32 al. 1 de la Constitution fédérale de la Confédération suisse (Cst.) et 10 al. 3 CPP, ainsi que son corollaire, le principe in dubio pro reo, concernent tant l'appréciation des preuves que le fardeau de la preuve (ATF 127 I 38 consid. 2a p. 40 s.; 120 Ia 31 consid. 2c p. 36 s.). Lorsque l'appréciation des preuves et la constatation des faits sont critiquées en référence au principe in dubio pro reo, celui-ci n'a pas de portée plus large que l'interdiction de l'arbitraire (ATF 138 V 74 consid. 7 p. 82).</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2.1.2. Une décision n'est pas arbitraire du seul fait qu'elle apparaît discutable ou même critiquable ; il faut qu'elle soit manifestement insoutenable, et cela non seulement dans sa motivation mais aussi dans son résultat (arrêt du Tribunal fédéral 6B_914/2015 du 30 juin 2016, consid. 1.1). 2.1.3.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w:t>
      </w:r>
    </w:p>
    <w:p>
      <w:r>
        <w:t>- 6/13 - P/1121/2019 façon soutenable par un ou plusieurs arguments de nature à emporter la conviction (ATF 129 I 8 consid. 2.1 p. 9 ; arrêts du Tribunal fédéral 6B_324/2017 du 8 mars 2018 consid. 1.1 ; 6B_1183/2016 du 24 août 2017 consid. 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2.2</w:t>
      </w:r>
    </w:p>
    <w:p>
      <w:r>
        <w:t>L'art. 19 al. 1 let. c LStup réprime celui qui, sans droit, aliène ou prescrit des stupéfiants, en procure de toute autre manière à un tiers ou en met dans le commerce. L'art. 19 LStup ne réprime pas globalement le "trafic de stupéfiants", mais érige différents comportements en autant d'infractions indépendantes, chaque acte, même répété, constituant une infraction distincte (ATF 137 IV 33 consid. 2.1.3 p. 39 ; arrêt du Tribunal fédéral 6B_1335/2016 du 5 septembre 2017 consid. 2.2). L'infraction est intentionnelle. Le dol éventuel suffit (ATF 126 IV 201 consid. 2).</w:t>
      </w:r>
    </w:p>
    <w:p>
      <w:r>
        <w:rPr>
          <w:b/>
        </w:rPr>
        <w:t>E. 2.3</w:t>
      </w:r>
    </w:p>
    <w:p>
      <w:r>
        <w:t>En l’espèce, comme le relève le premier juge, il est établi et admis par l’appelant qu’il est bien la personne qui s’est adressée au toxicomane F______ derrière l’arrêt de bus "[place] 1______". Durant la procédure, l’appelant a cependant nié toute implication dans la vente de stupéfiants à un toxicomane, affirmant qu’il devait y avoir erreur sur sa personne. Cette thèse n’est pas crédible dans la mesure où la police a observé une discussion, puis un échange entre les précités, ce qui est corroboré par les déclarations du toxicomane faites immédiatement après son interpellation et selon lesquelles il a admis avoir acheté une boulette de cocaïne à une personne répondant au signalement de l'appelant. De même, le prix de la vente et le moyen de paiement décrits par F______ (deux billets de CHF 20.- et CHF 10.-) correspond aux billets retrouvés sur l’appelant. Tandis que l’appelant est sans revenu, la présence d’une quantité d’argent non négligeable dans un porte-monnaie (CHF 206.20) est un indice supplémentaire de son activité de vendeur de cocaïne. Ses antécédents liés aux stupéfiants renforcent encore ces charges. Au regard de ce qui précède, la CPAR ne voit aucune raison de s'éloigner de la mise en cause crédible et vraisemblable du policier et de l’acheteur face aux démentis sujets à caution de l’appelant, lequel n'a au demeurant pas su décrire le contenu de la discussion qu'il a eue avec le toxicomane, et ce alors même qu'ils ne se connaissaient pas. En tout état, il n'est pas concevable que sa présence sur place, l’échange verbal qu’il admet avoir eu avec le toxicomane, la boulette de cocaïne retrouvée sur ce</w:t>
      </w:r>
    </w:p>
    <w:p>
      <w:r>
        <w:t>- 7/13 - P/1121/2019 dernier, ainsi que la quantité d’argent qu’il détenait en petites coupures et qui correspondait au montant de la transaction, soient dues à une autre cause que les faits dénoncés. Enfin, le fait que F______ ne soit plus en mesure d'identifier l'appelant peut s'expliquer aisément par le temps écoulé depuis les faits ainsi que ses problèmes psychiatriques, et ne peut conduire à retenir une erreur de sa part sur l'identité du vendeur. L'ensemble de ces éléments forme un faisceau d'indices suffisamment convergents pour pallier l'absence de profils ADN, de photo au dossier, et ainsi effacer tout doute raisonnable, de sorte que l'implication de l’appelant est avérée. Certes, l’appelant n’a pas été confronté aux auteurs du rapport de police mais cette mesure n’était en l’occurrence pas indispensable, dès lors qu’il reconnait avoir eu un contact avec le toxicomane, comme décrit dans le rapport, et compte tenu des autres indices à charge sus-évoqués. Le jugement entrepris sera donc confirmé et l’appel rejeté sur ce point.</w:t>
      </w:r>
    </w:p>
    <w:p>
      <w:r>
        <w:rPr>
          <w:b/>
        </w:rPr>
        <w:t>E. 3</w:t>
      </w:r>
    </w:p>
    <w:p>
      <w:r>
        <w:t>3.1.1. 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w:t>
      </w:r>
    </w:p>
    <w:p>
      <w:r>
        <w:t>3.1.3. Depuis le 1er janvier 2018, le juge ne peut prononcer une peine privative de liberté que s'il y a lieu d'admettre qu'une peine pécuniaire ne paraît pas suffisante pour détourner l'auteur d'autres crimes ou délits ou s'il y a lieu de craindre qu'une</w:t>
      </w:r>
    </w:p>
    <w:p>
      <w:r>
        <w:t>- 8/13 - P/1121/2019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(M. DUPUIS / L. MOREILLON / C. PIGUET / S. BERGER / M. MAZOU / V. RODIGARI, Petit commentaire du Code pénal, 2e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n. 3, ad art. 41 [1.1.2018]). 3.1.4.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Le défaut de prise de conscience de la faute peut justifier un pronostic défavorable, car seul celui qui se repent de son acte mérite la confiance que l'on doit pouvoir accorder au condamné bénéficiant du sursis (arrêt du Tribunal fédéral 6B_276/2018 consid. 3.1).</w:t>
      </w:r>
    </w:p>
    <w:p>
      <w:r>
        <w:rPr>
          <w:b/>
        </w:rPr>
        <w:t>E. 3.2</w:t>
      </w:r>
    </w:p>
    <w:p>
      <w:r>
        <w:t>En l’espèce, la faute en lien avec la vente de 0.7 gramme de cocaïne n’est pas anodine. L'appelant a agi par mépris de la législation en vigueur, mettant sur le marché de la drogue dure, par pur appât du gain et sans égard pour la santé de l'acheteur. Si l’acte reproché est limité à une occurrence et n'a causé qu’un faible trouble à l’ordre public, il ne faut pas sous-estimer le préjudice pour la collectivité du</w:t>
      </w:r>
    </w:p>
    <w:p>
      <w:r>
        <w:t>- 9/13 - P/1121/2019 trafic de stupéfiants, y compris au plan matériel, puisque cela mobilise constamment les nombreux acteurs appelés à le réprimer. La collaboration de l’appelant à la procédure a été mauvaise, dans la mesure où il a persisté à nier avoir été le vendeur, malgré les circonstances de son interpellation et les déclarations du toxicomane. Sa prise de conscience est nulle. Il avait déjà été condamné à neuf reprises au moment des faits pour des infractions spécifiques, démontrant ainsi qu'il s'est amplement implanté dans la délinquance. Sa situation personnelle est certes précaire. Il dispose cependant d'un permis de séjour italien, ce qui lui permet de résider et de gagner sa vie légalement dans ce pays. Seule une peine privative de liberté entre en ligne de compte, l'appelant étant sans ressources et dépourvu de toute perspective d'obtenir un revenu régulier. En outre, sa précédente condamnation à une peine pécuniaire ne l'a pas incité à se conformer à la législation suisse, pas plus que les précédentes peines privatives de liberté subies. Le pronostic quant à son comportement futur se présente sous un jour clairement défavorable, ce qui exclut la mise au bénéfice du sursis. Au vu de ce qui précède, la peine privative de liberté de 60 jours infligée par le premier juge est adéquate, de sorte qu’elle sera confirmée et l’appel rejeté.</w:t>
      </w:r>
    </w:p>
    <w:p>
      <w:r>
        <w:rPr>
          <w:b/>
        </w:rPr>
        <w:t>E. 4</w:t>
      </w:r>
    </w:p>
    <w:p>
      <w:r>
        <w:t>L'appelant, qui succombe, supportera les frais de la procédure envers l'État, qui comprennent un émolument de CHF 1'200.- (art. 428 CPP et 14 al. 1 let. e du règlement fixant le tarif des frais en matière pénale [RTFMP]).</w:t>
      </w:r>
    </w:p>
    <w:p>
      <w:r>
        <w:rPr>
          <w:b/>
        </w:rPr>
        <w:t>E. 5</w:t>
      </w:r>
    </w:p>
    <w:p>
      <w:r>
        <w:t>Le verdict de culpabilité étant confirmé, les conclusions en indemnisation de l'appelant doivent être rejetées (art. 429 al. 1 CPP a contrario).</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du chef d'étude, en matière pénale, est calculée selon le tarif horaire, débours de l'étude inclus, 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w:t>
      </w:r>
    </w:p>
    <w:p>
      <w:r>
        <w:t>- 10/13 - P/1121/2019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la défenseure d'office de l'appelant n'ayant produit aucun état de frais bien que dûment invitée à le faire, sa rémunération sera arrêtée ex aqueo et bono au montant arrondi de CHF 650.-, correspondant à 2h30 d'activité pour la rédaction du mémoire d'appel (CHF 500.-), le forfait de 20% pour activités diverses (CHF 100.-) et la TVA de 7.7% (CHF 46.20). * * * * *</w:t>
      </w:r>
    </w:p>
    <w:p>
      <w:r>
        <w:t>- 11/13 - P/1121/2019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