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AARP/268/2015 vom 8. Juni 2015</w:t>
      </w:r>
    </w:p>
    <w:p>
      <w:r>
        <w:t>GE Cour de justice, 2015-06-08, FR</w:t>
      </w:r>
    </w:p>
    <w:p>
      <w:r>
        <w:rPr>
          <w:b/>
        </w:rPr>
        <w:t xml:space="preserve">Quelle: </w:t>
      </w:r>
      <w:r>
        <w:t>https://mcp.opencaselaw.ch/entscheid/ge_gerichte_AARP_268_2015</w:t>
      </w:r>
    </w:p>
    <w:p>
      <w:r>
        <w:t>FR: GE_GERICHTE AARP/268/2015 du 8 juin 2015</w:t>
      </w:r>
    </w:p>
    <w:p>
      <w:r>
        <w:t>IT: GE_GERICHTE AARP/268/2015 del 8 giugno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w:t>
      </w:r>
    </w:p>
    <w:p>
      <w:r>
        <w:rPr>
          <w:b/>
        </w:rPr>
        <w:t>E. 1.2</w:t>
      </w:r>
    </w:p>
    <w:p>
      <w:r>
        <w:t>Interjeté et motivé dans la forme et les délais prescrits (art. 398 et 399 al. 3 CPP par analogie), l'appel est recevable. 2. 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Bâle 2007,</w:t>
      </w:r>
    </w:p>
    <w:p>
      <w:r>
        <w:t>- 5/8 - PM/456/2015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 2.2. En l’espèce, la condition objective prévue par l’art. 86 al. 1 CP est réalisée depuis le 13 mai 2015. S'agissant de la condition subjective, rien ne permet actuellement d'affirmer avec certitude que l'appelant serait à l'avenir susceptible de commettre d'autres infractions que des violations aux dispositions de la LEtr, à l'image de ses dernières condamnations en 2014, la première des trois l'étant toutefois aussi pour vol et la dernière pour délit à la LStup. En matière de LEtr, il est en revanche vrai qu'il y a un risque de récidive patent, vu le nombre d'antécédents, pour des faits spécifiques, certes anciens, mais pas seulement, avec depuis lors un séjour illégal interrompu de l'appelant en Suisse lui ayant valu trois nouvelles condamnations en 2014. L'assertion de ce dernier selon laquelle il entend quitter la Suisse pour se rendre en Italie est en l'état dénuée de toute crédibilité. L'appelant ne peut en effet donner que fort peu de renseignements sur les personnes censées l'attendre à sa sortie, soit pas même une adresse ou un numéro de téléphone. Il reconnaît qu'il ne disposerait pas d'un titre de séjour à son arrivée en Italie, le fait que son épouse, avec laquelle il n'est pas marié civilement, de nationalité algérienne, en ait prétendument un restant également à démontrer. Il n'étaie par aucun document, ne serait-ce une lettre de son épouse attestant de sa volonté de l'accueillir chez elle, ses projets d'installation en Italie qu'il aurait au surplus pu mettre à exécution depuis des années déjà. Il conserve par ailleurs des attaches à Genève, soit une compagne prénommée B______. Cette absence d'élément concret d'un projet d'installation en Italie conjuguée à l'existence d'attaches à Genève font douter d'une réelle intention chez l'appelant de quitter la Suisse à sa sortie de prison. Le pronostic est dans ces conditions clairement défavorable et la libération conditionnelle doit être refusée à l'appelant.</w:t>
      </w:r>
    </w:p>
    <w:p>
      <w:r>
        <w:t>- 6/8 - PM/456/2015 L'appel sera donc rejeté. L'appelant, qui succombe, supportera les frais de la procédure envers l'Etat comprenant un émolument de CHF 400.- (art. 428 CPP). * * * * *</w:t>
      </w:r>
    </w:p>
    <w:p>
      <w:r>
        <w:t>- 7/8 - PM/456/2015</w:t>
      </w:r>
    </w:p>
    <w:p>
      <w:r>
        <w:rPr>
          <w:b/>
        </w:rPr>
        <w:t>E. 3</w:t>
      </w:r>
    </w:p>
    <w:p>
      <w:r>
        <w:t>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