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AARP/266/2016 vom 28. Juni 2016</w:t>
      </w:r>
    </w:p>
    <w:p>
      <w:r>
        <w:t>GE Cour de justice, 2016-06-28, FR</w:t>
      </w:r>
    </w:p>
    <w:p>
      <w:r>
        <w:rPr>
          <w:b/>
        </w:rPr>
        <w:t xml:space="preserve">Quelle: </w:t>
      </w:r>
      <w:r>
        <w:t>https://mcp.opencaselaw.ch/entscheid/ge_gerichte_AARP_266_2016</w:t>
      </w:r>
    </w:p>
    <w:p>
      <w:r>
        <w:t>FR: GE_GERICHTE AARP/266/2016 du 28 juin 2016</w:t>
      </w:r>
    </w:p>
    <w:p>
      <w:r>
        <w:t>IT: GE_GERICHTE AARP/266/2016 del 28 giugno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w:t>
      </w:r>
    </w:p>
    <w:p>
      <w:r>
        <w:t>- 18/30 - P/3181/2014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w:t>
      </w:r>
    </w:p>
    <w:p>
      <w:r>
        <w:t>L'art. 399 al. 3 let. c CPP prévoit que l'appelant doit indiquer dans sa déclaration d'appel les éventuelles réquisitions de preuve. Cela n'exclut toutefois pas qu'il en présente d'autres pendant la phase des débats, postérieurement à la déclaration d'appel (arrêt du Tribunal fédéral 6B_591/2013 du 22 octobre 2014 consid. 2.1 ; L. MOREILLON / A. PAREIN-REYMOND, Code de procédure pénale - Petit commentaire, Bâle 2012, n. 29 ad art. 399 CPP). L'on songe en particulier à des faits ou des moyens de preuve dont une partie a eu connaissance après le dépôt de la déclaration d'appel.</w:t>
      </w:r>
    </w:p>
    <w:p>
      <w:r>
        <w:t>2.2.1. En l'espèce, la requête tendant à la mise en œuvre d'une nouvelle expertise psychiatrique du prévenu, par un autre expert, n'a été présentée que lors des débats d'appel. Or, aucune raison objective ne justifie une démarche aussi tardive, même pas le changement d'avocat d'office. En effet, les rapports du Dr U______ sont au dossier depuis l'instruction préparatoire et n'ont fait l'objet d'aucune critique.</w:t>
      </w:r>
    </w:p>
    <w:p>
      <w:r>
        <w:t>De plus, la manière dont l'expertise a été diligentée n'est pas critiquable. L'expert a pu s'entretenir avec le prévenu dans sa langue maternelle et le test de Rorschach était rédigé dans cette langue, de sorte que ses résultats, qui ne représentent qu'un élément parmi d'autres dans l'évaluation psychiatrique du prévenu, sont exploitables, même si la psychologue qui a fait passer le test ne maîtrisait pas sa langue. L'expert a ensuite été entendu contradictoirement à deux reprises, y compris après le dépôt du rapport complémentaire, et la défense a pu lui poser toutes les questions qu'elle jugeait utiles. Enfin, on relèvera que l'appelant A______ n'a pas formellement remis en cause les conclusions du complément d'expertise, dont le test de Rorschach fait partie.</w:t>
      </w:r>
    </w:p>
    <w:p>
      <w:r>
        <w:t>- 19/30 - P/3181/2014</w:t>
      </w:r>
    </w:p>
    <w:p>
      <w:r>
        <w:t>2.2.2. Le prévenu a renoncé à l'audition de G______ et H______ lors de la procédure préliminaire. Il a d'ailleurs fait savoir, au moment de la clôture de l'instruction, qu'il n'avait aucune réquisition de preuve à formuler, hormis l'audition de sa compagne, qui a eu lieu devant les premiers juges. L'appelant A______ n'a pas non plus requis une telle confrontation dans sa déclaration d'appel, alors qu'il aurait été aisé de le faire, ni dans les semaines qui ont précédé la tenue des débats d'appel.</w:t>
      </w:r>
    </w:p>
    <w:p>
      <w:r>
        <w:t>En outre, les dispositions qui protègent spécifiquement les enfants victimes d'infractions, comme l'art. 154 CPP, ne vont pas dans le sens d'une nouvelle audition des deux jeunes filles, surtout deux ans après les faits. Il semble d'ailleurs difficile, après un tel laps de temps, d'obtenir des déclarations utiles à la manifestation de la vérité, surtout que les souvenirs s'estompent encore plus vite du fait du jeune âge. Enfin, tant G______ que H______ se sont confiées depuis les faits à de nombreuses reprises aux psychologues voire à leur entourage, ce qui est aussi de nature à atténuer la fiabilité de leur témoignage, longtemps après les faits.</w:t>
      </w:r>
    </w:p>
    <w:p>
      <w:r>
        <w:t>Pour tous ces motifs, la requête de la défense a été rejetée.</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3.1.2.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(ATF 129 IV 179 consid. 2.4 p. 184). Les déclarations successives d'un même</w:t>
      </w:r>
    </w:p>
    <w:p>
      <w:r>
        <w:t>- 20/30 - P/3181/2014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t>3.1.3. A l'instar des autres moyens de preuve, le juge apprécie librement la force probante d'une expertise. Toutefois, il ne peut s'en écarter que lorsque des circonstances ou des indices importants et bien établis en ébranlent sérieusement la crédibilité ; il est alors tenu de motiver sa décision de ne pas suivre le rapport d'expertise (ATF 138 III 193 consid. 4.3.1 p. 198 s.).</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p. 58 ;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129 IV 179 consid. 2.4 p. 184).</w:t>
      </w:r>
    </w:p>
    <w:p>
      <w:r>
        <w:t>3.2.1.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w:t>
      </w:r>
    </w:p>
    <w:p>
      <w:r>
        <w:t>Aux termes de l'art. 190 al. 1 CP, se rend coupable de viol celui qui, notamment en usant de menace ou de violence, en exerçant sur sa victime des pressions d'ordre psychique ou en la mettant hors d'état de résister, aura contraint une personne de sexe</w:t>
      </w:r>
    </w:p>
    <w:p>
      <w:r>
        <w:t>- 21/30 - P/3181/2014 féminin à subir l'acte sexuel. Le comportement réprimé par cette disposition consiste dans le fait, pour l'homme, de contraindre volontairement la femme à subir l'acte sexuel proprement dit (B. CORBOZ, Les infractions en droit suisse, volume I, 3e éd., Berne 2010, n. 7 ad art. 190). Par acte sexuel, il faut entendre l’introduction, même partielle et momentanée, du pénis dans le vagin, l’éjaculation n’étant pas nécessaire (ATF 123 IV 49 consid. 2 p. 52).</w:t>
      </w:r>
    </w:p>
    <w:p>
      <w:r>
        <w:t>3.2.2.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w:t>
      </w:r>
    </w:p>
    <w:p>
      <w:r>
        <w:t>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(ATF 128 IV 97 consid. 2b p. 99). Des adultes en possession de leurs facultés mentales doivent être en mesure d'opposer une résistance plus forte que des enfants (ATF 131 IV 167 consid. 3.1 p. 171).</w:t>
      </w:r>
    </w:p>
    <w:p>
      <w:r>
        <w:t>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w:t>
      </w:r>
    </w:p>
    <w:p>
      <w:r>
        <w:t>3.2.3.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w:t>
      </w:r>
    </w:p>
    <w:p>
      <w:r>
        <w:t>3.2.4. La tentative suppose que l'auteur réalise tous les éléments subjectifs de l'infraction et qu'il manifeste sa décision de la commettre, mais sans en réaliser tous les éléments objectifs (ATF 120 IV 199 consid. 3e p. 206).</w:t>
      </w:r>
    </w:p>
    <w:p>
      <w:r>
        <w:t>- 22/30 - P/3181/2014</w:t>
      </w:r>
    </w:p>
    <w:p>
      <w:r>
        <w:t>3.3.1. Avec les premiers juges, la CPAR retient que les enfants G______ et H______ ont été victimes d'abus sexuels de la part du prévenu.</w:t>
      </w:r>
    </w:p>
    <w:p>
      <w:r>
        <w:t>3.3.2. Les déclarations de H______ sont crédibles, aux dires de l'expert judiciaire, dont les conclusions sont claires, motivées et convaincantes. Lors de son audition filmée, cette enfant a fourni un récit mesuré et dépourvu de toute exagération. Les termes employés et les détails fournis, au sujet notamment du sperme qui coule ou de l'apparence du sexe du prévenu, sont spontanés et adaptés à son âge. Les pénétrations ont été révélées de manière accidentelle et de manière particulièrement significative. Les confidences à son enseignante, à son amie L______ et à la gynécologue contredisent en outre l'existence de rapports sexuels consentis. Il en va de même de la réaction de H______ observée par sa mère, lorsque le prévenu rendait visite à sa famille, et de l'état de la jeune fille après les faits, tel que décrit par ses parents et sa thérapeute.</w:t>
      </w:r>
    </w:p>
    <w:p>
      <w:r>
        <w:t>3.3.3. Les déclarations de l'enfant G______ ont été jugées plutôt crédibles par l'expert judiciaire, dont les conclusions sont aussi convaincantes et motivées. Elles sont aussi corroborées par celles de H______, qui a rapporté que le prévenu avait pénétré sa fille par derrière, et de L______. G______ s'est aussi confiée à sa psychologue, à la gynécologue, à laquelle elle a dit qu'elle n'avait jamais eu des rapports sexuels consentis, et à sa mère. Elle a décrit son envie de se doucher après les faits et sa crainte de le faire pour ne pas attirer l'attention de sa mère, soit autant de détails spontanés qui renforcent la fiabilité de son propos. Elle a aussi utilisé ses propres mots pour décrire le sexe de son père ("sa partie intime") ou l'acte sexuel ("comme si c'était sa femme"), plutôt que des expressions stéréotypées révélatrices d'un récit construit ou appris par cœur. Sa réaction lors de l'examen gynécologique n'était pas non plus feinte de même que le changement de comportement, observé par son entourage. On retiendra en particulier le fait qu'elle a arrêté de s'enfermer à clé dans la salle de bains, après l'arrestation de son père, montrant par là qu'elle s'est sentie de nouveau en sécurité chez elle.</w:t>
      </w:r>
    </w:p>
    <w:p>
      <w:r>
        <w:t>3.3.4. A l'inverse, les déclarations du prévenu n'emportent pas conviction. Il a d'abord nié catégoriquement tout contact avec H______, avant d'affirmer qu'il avait entretenu une relation amoureuse avec la jeune fille. Il a fourni ce faisant un portrait invraisemblable de H______, dont le prétendu contrôle de sa contraception est totalement incompatible avec l'âge et l'expérience d'une très jeune fille, ainsi qu'avec les craintes d'être enceinte exprimées à la police. Le prévenu n'a pas non plus été en mesure de décrire comment la relation amoureuse avait débuté et n'a fourni aucun détail susceptible de rendre plausible la naissance de cette relation sentimentale. Enfin, la nuit où les faits ont été découverts, le prévenu a été entendu dire "pardon, pardon", même si le père de H______ s'est ensuite rétracté.</w:t>
      </w:r>
    </w:p>
    <w:p>
      <w:r>
        <w:t>- 23/30 - P/3181/2014</w:t>
      </w:r>
    </w:p>
    <w:p>
      <w:r>
        <w:t>La théorie du complot soutenue par la défense ne trouve aucune assise dans le dossier. En effet, il est établi que l'enfant H______ a confié à une copine de son âge, lors de la soirée du réveillon, que G______ avait subi des attouchements de la part de son père tout comme elle. Il n'était pas question de dénoncer ces faits ou de nuire à l'appelant A______. Ce n'est que quelques semaines plus tard que la mère de cette amie, qui avait été mise dans la confidence, a rapporté ces accusations à la mère de G______, qui a confronté son compagnon le lendemain. Cette chronologie est étayée par les déclarations des témoins M______ et L______, qui n'avaient à teneur du dossier aucune raison de mentir. L'immédiateté de la réaction de la plaignante F______ qui en résulte met en outre à mal la thèse du prévenu selon laquelle elle aurait tout inventé pour se débarrasser de lui, l'existence d'un amant n'ayant au demeurant pas été établie.</w:t>
      </w:r>
    </w:p>
    <w:p>
      <w:r>
        <w:t>De plus, l'on ne saurait retenir que les deux jeunes filles se seraient concertées pour porter des accusations mensongères contre le prévenu. Elles ont été entendues séparément, l'une après l'autre, dans la foulée des événements intervenus dans la nuit du 22 au 23 février 2014, qui n'étaient pas prévisibles.</w:t>
      </w:r>
    </w:p>
    <w:p>
      <w:r>
        <w:t>G______ n'avait aucune raison d'accuser le prévenu d'actes aussi graves. Les explications selon lesquelles elle aurait voulu se venger d'un père trop sévère ne sont confirmées par aucun témoignage. Elles ont du reste été fournies bien tardivement, visiblement pour les besoins de la cause. H______ n'avait pas non plus d'intérêt à mentir.</w:t>
      </w:r>
    </w:p>
    <w:p>
      <w:r>
        <w:t>Enfin, le 23 février 2014, le prévenu a été vu sortir de la chambre où dormait H______ et son ADN a été trouvé sur la culotte de cette enfant. Ces éléments, ainsi que le constat médical, corroborent le récit de cette partie plaignante concernant l'agression sexuelle subie cette nuit-là.</w:t>
      </w:r>
    </w:p>
    <w:p>
      <w:r>
        <w:t>3.3.5. Les actes décrits par les victimes sont constitutifs de toutes les infractions retenues par les premiers juges, soit d'actes d'ordre sexuel avec des enfants, de contrainte sexuelle, de viols, dont une tentative, et aussi d'inceste, s'agissant de G______. En particulier, l'élément de contrainte est réalisé, le prévenu étant parvenu à ses fins par la force, la violence, les menaces, son statut d'adulte, la différence d'âge et l'emprise paternelle ou quasi paternelle qu'il avait sur les deux victimes. Concernant l'agression intervenue le 23 février 2014, il est avéré que l'appelant A______ a pénétré dans la chambre, a dit à H______ que sa mère dormait, a exigé qu'elle baisse son pantalon puis l'a menacée et poussée, manifestant par là son intention de la contraindre à subir l'acte sexuel. C'est ainsi à juste titre qu'il a été reconnu coupable de tentative de viol pour ces faits.</w:t>
      </w:r>
    </w:p>
    <w:p>
      <w:r>
        <w:t>Le verdict de culpabilité sera ainsi entièrement confirmé.</w:t>
      </w:r>
    </w:p>
    <w:p>
      <w:r>
        <w:t>- 24/30 - P/3181/2014</w:t>
      </w:r>
    </w:p>
    <w:p>
      <w:r>
        <w:rPr>
          <w:b/>
        </w:rPr>
        <w:t>E. 4</w:t>
      </w:r>
    </w:p>
    <w:p>
      <w:r>
        <w:t>Le Ministère public estime que la peine privative de liberté de quatre ans et six mois, infligée par les premiers juges, est trop clémente.</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4.1.2. D'après l'art. 49 al. 1 CP, si, en raison d'un ou de plusieurs actes, l'auteur remplit les conditions de plusieurs peines de même genre, le juge le condamne à la peine de l'infraction la plus grave et l'augmente dans une juste proportion.</w:t>
      </w:r>
    </w:p>
    <w:p>
      <w:r>
        <w:t>4.1.3. Le viol et la contrainte sexuelle sont passibles d’une peine privative de liberté pouvant aller jusqu’à dix ans (art. 189 et 190 CP), les actes d’ordre sexuel avec un enfant d’une peine jusqu’à cinq ans et l'inceste d'une peine de trois ans au plus. Le séjour illégal peut être sanctionné d'une peine allant jusqu'à douze mois.</w:t>
      </w:r>
    </w:p>
    <w:p>
      <w:r>
        <w:t>4.1.4.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w:t>
      </w:r>
    </w:p>
    <w:p>
      <w:r>
        <w:rPr>
          <w:b/>
        </w:rPr>
        <w:t>E. 9</w:t>
      </w:r>
    </w:p>
    <w:p>
      <w:r>
        <w:t>9.1.1.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- 28/30 - P/3181/2014</w:t>
      </w:r>
    </w:p>
    <w:p>
      <w:r>
        <w:t>Selon l'art. 16 du règlement sur l'assistance juridique du 28 juillet 2010 (RAJ ; E 2 05.04), l'indemnité, en matière pénale, est calculée selon le tarif horaire suivant, débours de l'étude inclus : avocat stagiaire CHF 65.- (let. a) ; collaborateur CHF 125.- (let. b) ; chef d'étude CHF 200.- (let. c). En cas d'assujettissement,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9.1.2.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9.2.1. En l'occurrence, l'état de frais de Me B______ est globalement en adéquation avec la nature, l'importance et la difficulté de la cause. Il sera admis dans son intégralité et complété du temps d'audience.</w:t>
      </w:r>
    </w:p>
    <w:p>
      <w:r>
        <w:t>L'indemnité sera arrêtée à CHF 7'452.- correspondant à 28h45 d'activité au tarif de CHF 200.-/l'heure plus la majoration forfaitaire de 20%, applicable en l'espèce, et l'équivalent de la TVA au taux de 8% en CHF 552.-.</w:t>
      </w:r>
    </w:p>
    <w:p>
      <w:r>
        <w:t>9.2.2. Il en va de même de celui de Me E______, qui sera aussi intégralement admis et complété de la durée de l'audience.</w:t>
      </w:r>
    </w:p>
    <w:p>
      <w:r>
        <w:t>L'indemnité du conseil juridique gratuit sera arrêtée à CHF 1'900.- correspondant à 8h00 d'activité au tarif de CHF 200.-/l'heure plus la majoration forfaitaire de 10%, vu l'activité déployée en première instance, et l'équivalent de la TVA au taux de 8% en CHF 140.-. * * * * *</w:t>
      </w:r>
    </w:p>
    <w:p>
      <w:r>
        <w:t>- 29/30 - P/3181/2014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