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AARP/264/2019 vom 15. Juli 2019</w:t>
      </w:r>
    </w:p>
    <w:p>
      <w:r>
        <w:t>GE Cour de justice, 2019-07-15, FR</w:t>
      </w:r>
    </w:p>
    <w:p>
      <w:r>
        <w:rPr>
          <w:b/>
        </w:rPr>
        <w:t xml:space="preserve">Quelle: </w:t>
      </w:r>
      <w:r>
        <w:t>https://mcp.opencaselaw.ch/entscheid/ge_gerichte_AARP_264_2019</w:t>
      </w:r>
    </w:p>
    <w:p>
      <w:r>
        <w:t>FR: GE_GERICHTE AARP/264/2019 du 15 juillet 2019</w:t>
      </w:r>
    </w:p>
    <w:p>
      <w:r>
        <w:t>IT: GE_GERICHTE AARP/264/2019 del 15 luglio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1.1</w:t>
      </w:r>
    </w:p>
    <w:p>
      <w:r>
        <w:t>; 6B_445/2016 du 5 juillet 2017 consid. 5.1). Les cas de « déclarations contre déclarations »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 M. NIGGLI / M. HEER / H. WIPRÄCHTIGER [éds], Strafprozess- ordnung / Jugendstrafprozessordnung, Basler Kommentar StPO/JStPO, 2ème éd., Bâle 2014, n. 83 ad art. 10). Le juge doit en particulier se forger une conviction aussi bien sur les premières déclarations du prévenu, ou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 Rien ne s'oppose non plus à ce que le juge ne retienne qu'une partie des déclarations d'un témoin globalement crédible (ATF 120 Ia 31 consid. 3 ; arrêt du Tribunal fédéral 6B_637/2012 du 21 janvier 2013 consid. 5.4). 2.1.2. Le principe in dubio pro reo susmentionné (art. 10 al. 3 CPP), concerne tant le fardeau de la preuve que l'appréciation des preuves au sens large (ATF 144 IV 345 ; ATF 127 I 28 consid. 2a). En tant que règle sur le fardeau de la preuve, la présomption d'innocence signifie, au stade du jugement, que ce fardeau incombe à l'accusation et que le doute doit profiter au prévenu (arrêts du Tribunal fédéral 6B_519/2018 du 29 août 2018 consid. 3.1 ;</w:t>
      </w:r>
    </w:p>
    <w:p>
      <w:r>
        <w:t>- 10/22 - P/5872/2017 6B_377/2018 du 22 août 2018 consid. 1.1). Ainsi, il appartient à l'accusation d'établir la culpabilité du prévenu, et non à ce dernier de démontrer qu'il n'est pas coupable. L'absence de doute à l'issue de l'appréciation des preuves exclut la violation de la présomption d'innocence en tant que règle sur le fardeau de la preuve (ATF 144 IV 345 consid. 2.2).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 ; ATF 138 V 74 consid. 7 ; ATF 127 I 38 consid. 2a ; ATF 124 IV 86 consid. 2a ; arrêts du Tribunal fédéral 6B_634/2018 du 22 août 2018 consid. 2.1 ; 6B_1306/2017 du 17 mai 2018 consid. 2.1.1). 2.2.1. L'art. 19 al. 1 LStup punit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publiquement, incite à la consommation de stupéfiants ou révèle des possibilités de s'en procurer ou d'en consommer (let. f) et celui qui prend des mesures aux fins de commettre une des infractions visées aux let. a à f (let. g). L'art. 19 al.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vol. II, 3ème éd., Berne 2010, n. 60 p. 909). Il faut encore que l'auteur projette d'accomplir lui-même l'une des infractions prévues aux lettres a à f en tant qu'auteur ou coauteur (ATF 130 IV 131 consid. 2.2.2). Celui qui n'envisage pas de commettre un tel acte ne prend pas de mesures à cette fin puisqu'il ne tente ni ne prépare l'une des infractions en question. Il est au plus complice de celui qu'il aide à commettre un des actes prévus à l'art. 19 al. 1 let. a à g LStup (ATF 133 IV 187 consid. 3.2 ;</w:t>
      </w:r>
    </w:p>
    <w:p>
      <w:r>
        <w:t>- 11/22 - P/5872/2017 ATF 130 IV 131 consid. 2.2.2 ; arrêts du Tribunal fédéral 228/2018 du 22 août 2018 consid. 4.1 ; 6B_1422/2017 du 5 juin 2018 consid. 6.1 ; 6B_1335/2016 du</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w:t>
      </w:r>
    </w:p>
    <w:p>
      <w:r>
        <w:rPr>
          <w:b/>
        </w:rPr>
        <w:t>E. 2.3</w:t>
      </w:r>
    </w:p>
    <w:p>
      <w:r>
        <w:t>Celui qui, sans bourse délier, aura frauduleusement obtenu une prestation qu'il savait ne devoir être fournie que contre paiement, notamment celui qui se sera servi d'un ordinateur ou d'un appareil automatique (art. 150 CP) est passible, sur plainte, d’une peine pécuniaire ou d’une peine privative de liberté de trois ans au plus. Pour retenir une absence de paiement, il suffit que l'auteur ne paie pas entièrement ce qu'il doit (B. CORBOZ, op. cit., vol. I, 3ème éd., Berne 2010, n. 9 p. 361). 2.4.1. L'art. 160 ch. 1 CP sanctionne celui qui aura acquis, reçu en don ou en gage, dissimulé ou aidé à négocier une chose dont il savait ou devait présumer qu'un tiers l'avait obtenue au moyen d'une infraction contre le patrimoine. Au plan objectif, l'infraction de recel suppose une chose obtenue au moyen d'une infraction contre le patrimoine, notion qui s'entend de manière large et englobe toute infraction dirigée contre le patrimoine d'autrui (ATF 127 IV 79 consid. 2a et b). Le point de savoir si l'auteur de l'infraction préalable a été poursuivi ou puni est sans pertinence. Il suffit que l'acte initial réalise les éléments constitutifs objectifs et</w:t>
      </w:r>
    </w:p>
    <w:p>
      <w:r>
        <w:t>- 12/22 - P/5872/2017 subjectifs d'une infraction dirigée contre le patrimoine d'autrui (ATF 101 IV 402 consid. 2 ; arrêts du Tribunal fédéral 6B_1124/2014 du 22 septembre 2015 consid. 2.1). Comme en matière de blanchiment (art. 305bis CP), la preuve stricte de l'acte préalable n'est pas exigée (arrêt du Tribunal fédéral 6B_728/2010 du 1er mars 2011 consid. 2.2).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Tribunal fédéral 6B_641/2017 du 1er juin 2018 consid. 1.1). Le recel ne peut porter que sur la chose qui est directement issue de l'infraction préalable, à l'exclusion de tout substitut ou bien de remploi, à défaut de prétention du lésé sur le substitut ou le bien de remploi (ATF 116 IV 193 consid. 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Il y a acquisition lorsque l'auteur acquiert un pouvoir de disposition propre sur la chose (arrêt du Tribunal fédéral 6B_793/2007 du 18 mars 2008 consid. 4.1). L'auteur du recel doit, par l'acquisition de la chose, obtenir une détention de la chose et un pouvoir de disposition effectif propre sur celle-ci (ATF 128 IV 23 consid. 3c).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1er mars 2011 consid. 2.2). Il en va ainsi lorsque les circonstances suggèrent le soupçon de la provenance délictueuse (ATF 129 IV 230 consid. 5.3.2 et les références à ATF 119 IV 242 consid. 2b ; ATF 101 IV 402 consid. 2 ; arrêt du Tribunal fédéral 6B_641/2017 du 1er juin 2018 consid. 1.1). 2.4.2. Selon l'art. 172ter al. 1 CP, applicable aux infractions du titre 2 de la partie spéciale du Code pénal,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 ATF 121 IV 261 consid. 2c). La limite jusqu'à laquelle cette disposition est applicable a été fixée à CHF 300.- (ATF 142 IV 129 consid. 3.1 ; ATF 123 IV 113 consid. 3d).</w:t>
      </w:r>
    </w:p>
    <w:p>
      <w:r>
        <w:t>- 13/22 - P/5872/2017 2.5.1. En l'espèce, l'ADN des deux prévenus a été retrouvé sur les 21,7 grammes de drogue contenus dans la chaussette, pour l'un à l'extérieur du sachet et pour l'autre à l'intérieur et sur le nœud, ce qui indique que tous deux l'ont manipulée. Les 56.3 et 21.7 grammes de cocaïne ont le même profil chimique, indice fort d'une même provenance. Aucun profil ADN de tiers n'a été mis en évidence. Le produit de coupage et le matériel de conditionnement se trouvaient en évidence dans la pièce principale et dans la cuisine. Ainsi, outre de la cocaïne à un taux de pureté relativement élevé, l'appartement contenait le nécessaire pour la confection de celle-ci en vue de sa vente à des consommateurs. Les deux prévenus ont admis avoir eu accès à l'appartement en question les jours ayant précédé leur arrestation et avoir été les seuls à s'y rendre dans ce même laps de temps. De plus, l'appelant a été vu entrer et sortir à plusieurs reprises de l'appartement et y demeurer plusieurs heures. Il se trouvait depuis en tout cas une heure dans le logement lorsqu'il a été interpellé. Ils avaient donc tous deux la maîtrise effective de l'appartement et de l'ensemble de ce qu'il s'y trouvait. Peu importe que A______ ait contesté y dormir. Ce qu'il y faisait précisément n'est pas de nature à modifier le raisonnement qui précède. Les factures du numéro d'appel 4______ ne mentionnent que les appels sortants et non les appels entrants, de sorte que l'on ne saurait en déduire que l'appelant n'a reçu aucun appel et qu'il n'aurait donc pas été contacté par des toxicomanes, étant rappelé que, dans son journal d'appels émis, plusieurs sont reliés à des consommateurs de cocaïne, selon le rapport de renseignements du 11 mars 2017. 2.5.2. L'appelant a varié dans ses déclarations sur l'ensemble des faits qui lui sont reprochés, à l'exception de l'infraction de séjour illégal, d'emblée reconnue. Sa crédibilité est donc limitée. Aucune crédibilité ne peut être allouée à la rétractation de l’aveu concernant les 56.3 grammes bruts, dans la mesure où l'appelant était assisté d'un conseil, lequel a expressément requis la tenue d'une audience supplémentaire, son client souhaitant revenir sur ses déclarations. Il faut donc retenir que la décision de concéder cet aveu était murement réfléchie et non uniquement la conséquence d’un mauvais conseil donné par d’autres détenus. 2.5.3. Il n'est pas indispensable d'évaluer la crédibilité de E______, dans la mesure où les éléments objectifs du dossier, ainsi que les déclarations de l'appelant suffisent pour confirmer le verdict de culpabilité retenu par le premier juge. Ce d'autant plus que le premier juge n'a pas cru davantage aux propos de E______ qu'à ceux de l'appelant puisque le verdict de culpabilité est le même pour les deux prévenus et porte sur l'ensemble de la drogue retrouvée dans l'appartement. 2.5.4. Au vu des éléments qui précèdent, il est établi que A______, de concert avec E______, détenait dans l'appartement perquisitionné près de 75 grammes brut de cocaïne d'un taux de pureté oscillant entre 43 et 50%, soit plus de 18 grammes de</w:t>
      </w:r>
    </w:p>
    <w:p>
      <w:r>
        <w:t>- 14/22 - P/5872/2017 substance pure. De toute évidence, les deux prévenus avaient la maîtrise effective sur l'ensemble de la drogue retrouvée et non sur une partie de celle-ci seulement. La composition chimique est identique pour deux lots, signe d’une même provenance et leurs ADN ont été sur partie des stupéfiants. Il ne fait aucun doute que les prévenus se préparaient à conditionner la drogue en vue de sa vente à des toxicomanes, l'appartement contenant tout le nécessaire à cet effet (produit de coupage et matériel). Partant, l'infraction grave à la LStup est bien réalisée (art. 19 al. 1 let. d et g et 19 al. 2 let. a) et l'appel sera rejeté sur ce point.</w:t>
      </w:r>
    </w:p>
    <w:p>
      <w:r>
        <w:rPr>
          <w:b/>
        </w:rPr>
        <w:t>E. 2.6</w:t>
      </w:r>
    </w:p>
    <w:p>
      <w:r>
        <w:t>L'appelant a reconnu avoir été en possession et avoir utilisé la carte SIM relative au numéro 4______ obtenue suite à la falsification du permis de séjour de D______, lequel lui avait été dérobé (plainte pénale a été déposée pour ces faits). Il a prétendu avoir de bonne foi considéré qu'il pouvait effectuer des communications gratuites à destination de la Guinée depuis la Suisse, le vendeur lui ayant affirmé que la carte SIM était congolaise. De telles déclarations sont dénuées de toute crédibilité. Les cartes SIM indiquent le nom de l'opérateur, sans préjudice de ce que le numéro était un numéro Suisse ce que son utilisateur savait nécessairement. Il n’est d’ailleurs pas crédible que des communications émises depuis la Suisse avec une carte SIM congolaise le soient sans frais, au vu des tarifs de roaming international élevés. Dans ces circonstances, il faut retenir que l'appelant savait – à tout le moins ne pouvait ignorer – que la carte SIM avait été obtenue au moyen d'une infraction contre le patrimoine. Par conséquent, le premier juge l'a condamné à juste titre pour recel d'une importance mineure (art. 160 ch. 1 CP cum art. 172ter al. 1 CP), la valeur de la carte SIM étant inférieure à CHF 300.-. L'appelant avait pleinement conscience qu'en effectuant des communications internationales pendant plus de 19h00 à destination de la Guinée, dans un laps de temps limité, au moyen d'une carte SIM suisse acquise pour CHF 50.- (auprès d'un tiers et non de l'opérateur), il obtenait frauduleusement une prestation dont il n'avait aucune intention de payer le prix, de sorte qu'il s'est bien rendu coupable d'infraction à l'art. 150 CP. L’argument du soi-disant paiement de CHF 50.- tombe en tout état à faux, puisque cette somme aurait servi à l'acquisition de la carte SIM et non au paiement des télécommunications. La décision entreprise sera confirmée en ce sens. 3. 3.1. Les infractions selon chacune des hypothèses de l'art. 19 al. 1 LStup, ici let. d et g, ainsi que celle à l'art. 150 CP sont passibles d'une peine privative de liberté de trois ans au plus ou d'une peine pécuniaire. La peine privative de liberté est d'un an au moins en cas d'infraction à l'art. 19 al. 2 LStup. À teneur de l'art. 115 al. 1 let. b LEI sera puni d'une peine privative de liberté d'un an au plus ou d'une peine pécuniaire, quiconque séjourne illégalement en Suisse. Le recel d'une importance mineure est sanctionné d'une amende (art. 160 ch. 1 cum art. 172ter CP).</w:t>
      </w:r>
    </w:p>
    <w:p>
      <w:r>
        <w:t>- 15/22 - P/5872/2017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l'absence d'antécédents ayant, en principe, un effet neutre sur la fixation de la peine et n'ayant donc pas à être prise en considération dans un sens atténuant (ATF 141 IV 61 consid. 6.3.2),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3.2.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 En matière de trafic de stupéfiants, il y a lieu de tenir compte, plus spécialement, des circonstances suivantes : Même si la quantité de la drogue ne joue pas un rôle prépondérant, elle constitue sans conteste un élément important (arrêt du Tribunal fédéral 6B_843/2014 du 7 avril 2015 consid. 1.1.1 et les références citées).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- 16/22 - P/5872/2017 3.4. Au vu de la quantité de cocaïne en cause, d'un taux de pureté relativement élevé (entre 40 et 50%), de la manipulation et de la conservation de cette drogue, la faute de l'appelant apparaît conséquente. Ce d'autant plus que son rôle ne s'est pas limité à la détention, mais qu'il a pris les mesures préparatoires à sa vente disposant du matériel nécessaire à son conditionnement. Ces mêmes éléments dénotent une intense volonté délictuelle. On ne discerne pas pour quel autre motif que l'appât du gain l'appelant a agi ainsi, au mépris de la santé des consommateurs. La collaboration de l'appelant à la procédure est mauvaise. Il a varié à plusieurs reprises quant à son implication, niant tout lien avec la drogue retrouvée ou admettant la détention d'une partie, pour finalement, devant les autorités de jugement, contester à nouveau intégralement les faits. Sa prise de conscience est dès lors inexistante. Les éléments qui précèdent imposent de confirmer le choix du genre de peine pour les infractions aux art. 150 CP et 115 al. 1 let. b LEI, que l'appelant n'a d'ailleurs pas critiqué. En effet, la peine pécuniaire ne saurait entrer en considération, faute d'effet dissuasif. L'appelant a fait preuve d'une imperméabilité complète aux sanctions pécuniaires déjà prononcées, dont les peines privatives de liberté de substitution ont été exécutées. Il a poursuivi son comportement délictuel sans amendement aucun. L'appelant a un antécédent spécifique en matière de trafic de drogue. Il y a concours entre les infractions retenues ce qui justifie de prononcer une peine privative de liberté aggravée. Les actes abstraitement les plus graves au sens de l'art. 49 al. 1 CP sont ceux qualifiés d'infraction à l'art. 19 al. 1 et 2 LStup. Aussi, la CPAR juge appropriée – à vrai dire très clémente, mais l’interdiction de la reformatio in pejus l’empêche de davantage explorer cette question – une peine privative de liberté de 12 mois en relation avec cette infraction, soit la peine minimale. A ces douze mois s'ajouteront trois mois afin de tenir compte du concours avec les autres infractions (art. 150 CP et 115 al. 1 let. b LEI), d'où une peine privative de liberté globale de 15 mois. Partant, la sanction de 15 mois de peine privative de liberté prononcée par le premier juge consacre une application correcte des critères fixés aux art. 47 et 49 CP et tient compte de manière adéquate, voire clémente, de la gravité de sa faute et de sa situation personnelle. Le recel d'une importance mineure (art. 160 ch. 1 CP cum art. 172ter al. 1 CP) est sanctionné d'une amende. La CPAR juge appropriée une contravention de CHF 400.- en relation avec cette infraction. 4. 4.1. Conformément à l'art. 66a al. 1 let. o CP, le juge expulse un étranger du territoire suisse pour une durée de cinq à quinze ans s'il est reconnu coupable d'infraction à</w:t>
      </w:r>
    </w:p>
    <w:p>
      <w:r>
        <w:t>- 17/22 - P/5872/2017 l'art. 19 al. 2 LStup,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4.2. L'appelant ayant été reconnu coupable d'infraction à l'art. 19 al. 2 LStup, son expulsion est obligatoire au sens de l'art. 66a al. 1 CP, ce qui n'est pas contesté dans le cas d'une confirmation du verdict de culpabilité. Les conditions d'une renonciation exceptionnelle à l'expulsion ne sont de toute évidence pas remplies, à défaut d'un lien quelconque avec la Suisse (art. 66a al. 2 CP) et ne sont d'ailleurs pas plaidées. 4.3. Partant, la décision entreprise sera confirmée sur ce point légalement.</w:t>
      </w:r>
    </w:p>
    <w:p>
      <w:r>
        <w:rPr>
          <w:b/>
        </w:rPr>
        <w:t>E. 5</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6.1</w:t>
      </w:r>
    </w:p>
    <w:p>
      <w:r>
        <w:t>L'appelant, qui succombe, supportera les frais de la procédure envers l'État (art. 428 CPP).</w:t>
      </w:r>
    </w:p>
    <w:p>
      <w:r>
        <w:rPr>
          <w:b/>
        </w:rPr>
        <w:t>E. 6.2</w:t>
      </w:r>
    </w:p>
    <w:p>
      <w:r>
        <w:t>Au vu de ce qui précède, en particulier de la confirmation du verdict de culpabilité, la répartition des frais de première instance ne sera pas revue (art. 428 al. 3 CPP).</w:t>
      </w:r>
    </w:p>
    <w:p>
      <w:r>
        <w:rPr>
          <w:b/>
        </w:rPr>
        <w:t>E. 7</w:t>
      </w:r>
    </w:p>
    <w:p>
      <w:r>
        <w:t>Compte tenu de l'issue de la procédure, il n'y a pas lieu d'entrer en matière sur les conclusions de l'appelant en restitution (art. 69 CP). Le jugement entrepris sera confirmé sur ce point.</w:t>
      </w:r>
    </w:p>
    <w:p>
      <w:r>
        <w:rPr>
          <w:b/>
        </w:rPr>
        <w:t>E. 8.1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et chef d'étude CHF 200.- (let. c).</w:t>
      </w:r>
    </w:p>
    <w:p>
      <w:r>
        <w:t>En cas d'assujettissement,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- 18/22 - P/5872/2017</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le temps consacré à la rédaction de la déclaration d'appel est compris dans l'indemnisation forfaitaire, conformément aux critères rappelés ci- dessus. Au regard de la difficulté du dossier et de l’argumentation développée en appel, 08h00 paraissent mieux répondre aux critères d’adéquation et de nécessité s’agissant de la rédaction du mémoire d’appel par la collaboratrice.</w:t>
      </w:r>
    </w:p>
    <w:p>
      <w:r>
        <w:t>La rémunération de la défenseure d’office sera ainsi arrêtée à CHF 2'251.- pour 03h30 heure d'activité au tarif de CHF 200.-/heure (CHF 700.-) et 08h00 au tarif de CHF 150.-/heure (CHF 1'200.-), plus la majoration forfaitaire de 10% (CHF 190.-) et la TVA au taux de 7.7% (CHF 161.-). * * * * *</w:t>
      </w:r>
    </w:p>
    <w:p>
      <w:r>
        <w:t>- 19/22 - P/5872/2017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