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AARP/263/2024 vom 29. Juli 2024</w:t>
      </w:r>
    </w:p>
    <w:p>
      <w:r>
        <w:t>GE Cour de justice, 2024-07-29, FR</w:t>
      </w:r>
    </w:p>
    <w:p>
      <w:r>
        <w:rPr>
          <w:b/>
        </w:rPr>
        <w:t xml:space="preserve">Quelle: </w:t>
      </w:r>
      <w:r>
        <w:t>https://mcp.opencaselaw.ch/entscheid/ge_gerichte_AARP_263_2024</w:t>
      </w:r>
    </w:p>
    <w:p>
      <w:r>
        <w:t>FR: GE_GERICHTE AARP/263/2024 du 29 juillet 2024</w:t>
      </w:r>
    </w:p>
    <w:p>
      <w:r>
        <w:t>IT: GE_GERICHTE AARP/263/2024 del 29 luglio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du 4 novembre 1950 (CEDH) et par les art. 32 al. 1 de la Constitution fédérale de la Confédération suisse du 18 avril 1999 (Cst.) et 10 al. 3 CPP, concerne</w:t>
      </w:r>
    </w:p>
    <w:p>
      <w:r>
        <w:t>- 8/15 - P/9484/2022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Le tribunal est lié par l'état de fait décrit dans l'acte d'accusation (immutabilité de l'acte d'accusation) mais peut s'écarter de l'appréciation juridique qu'en fait le ministère public (art. 350 al. 1 CPP), à condition d'en informer les parties présentes</w:t>
      </w:r>
    </w:p>
    <w:p>
      <w:r>
        <w:t>- 9/15 - P/9484/2022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w:t>
      </w:r>
    </w:p>
    <w:p>
      <w:r>
        <w:rPr>
          <w:b/>
        </w:rPr>
        <w:t>E. 2.3</w:t>
      </w:r>
    </w:p>
    <w:p>
      <w:r>
        <w:t>L'art. 125 CP réprime le comportement de quiconque,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2.3.1</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133 IV 158 consid. 5.1). 2.3.2.1. S'agissant d'un accident de la route, il convient de se référer aux règles de la circulation routière (arrêt du Tribunal fédéral 6B_69/2017 du 28 novembre 2017 consid. 2.1), étant précisé que la violation de règles de la circulation routière au sens de l'art. 90 al. 1 LCR est absorbée par l'art. 125 CP, en l'absence de mise en danger d'autres personnes que le blessé (arrêt du Tribunal fédéral 6B_291/2015 du 18 janvier 2016 consid. 3.2 ; M. DUPUIS / L. MOREILLON / C. PIGUET / S. BERGER / M. MAZOU / V. RODIGARI [éds.], Petit commentaire, Code pénal, 2ème éd., 2017 Bâle, n. 14 ad art. 125). 2.3.2.2. L'art. 26 al. 1 LCR prescrit que chacun doit se comporter, dans la circulation, de manière à ne pas gêner ni mettre en danger ceux qui utilisent la route</w:t>
      </w:r>
    </w:p>
    <w:p>
      <w:r>
        <w:t>- 10/15 - P/9484/2022 conformément aux règles établies. Ainsi, selon le principe de la confiance qui en découle, tout usager de la route qui se comporte conformément aux règles établies, doit pouvoir, dans la mesure où aucune circonstance particulière ne s'y oppose, admettre que les autres participants à la circulation routière se conduiront également de façon conforme aux règles (ATF 143 IV 138 consid. 2.1). Le conducteur qui veut modifier sa direction de marche, par exemple pour dépasser, est tenu d'avoir égard aux usagers de la route qui viennent en sens inverse ainsi qu'au véhicule qui le suivent (art. 34 al. 3 LCR). Le principe de la confiance est déduit de l'art. 26 al. 1 LCR qui prévoit que chacun doit se comporter, dans la circulation, de manière à ne pas gêner ni mettre en danger ceux qui utilisent la route conformément aux règles établies (ATF 120 IV 252 consid. 2d/aa).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 118 IV 277 consid. 4a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 120 IV 252 consid. 2d/aa ; 143 IV 500 consid. 1.2.4).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 consid. 2d/aa ; arrêt du Tribunal fédéral 6B_959/2016 du 6 juillet 2017 consid. 2.2). Constitue un comportement imprévisible le fait d'accélérer brusquement pour forcer le passage, de surgir de façon inopinée à une vitesse largement excessive ou de freiner vigoureusement tout à coup sans raison (ATF 125 IV 83 consid. 2c ; arrêts du Tribunal fédéral 6B_959/2016 du 6 juillet 2017 consid. 2.2 ; 4A_239/2011 du 22 novembre 2011 consid. 2.4.1 = JdT 2011 I 321). Dans l'optique d'une règle de priorité claire, on ne peut toutefois admettre facilement que le débiteur de la priorité n'a pas à compter avec le passage, respectivement l'entrave d'un prioritaire (ATF 143 IV 500 consid. 1.2.4 ; ATF 120 IV 252 consid. 2d/aa ; arrêts du Tribunal fédéral 6B_631/2018 du 24 octobre 2018 consid. 1.2 ; 6B_959/2016 du 6 juillet 2017 consid. 2.2).</w:t>
      </w:r>
    </w:p>
    <w:p>
      <w:r>
        <w:t>- 11/15 - P/9484/2022 Le débiteur de la priorité ne peut remplir ses obligations envers le prioritaire qu'à condition d'avoir une vue suffisante sur la route prioritaire et cela des deux côtés. Les obligations découlant d'une mauvaise visibilité sont à sa charge (ATF 98 IV 273 consid. 2).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122 IV 133 consid. 2a ; 143 IV 500 consid. 1.2.2 ; arrêt du Tribunal fédéral 6B_746/2007 du 29 février 2008 = JdT 2008 I 474 consid. 1.1.1).</w:t>
      </w:r>
    </w:p>
    <w:p>
      <w:r>
        <w:rPr>
          <w:b/>
        </w:rPr>
        <w:t>E. 2.3.3</w:t>
      </w:r>
    </w:p>
    <w:p>
      <w:r>
        <w:t>L'atteinte à l'intégrité personnelle doit revêtir la forme de lésions corporelles graves ou simples au sens des articles 122 ou 123 CP.</w:t>
      </w:r>
    </w:p>
    <w:p>
      <w:r>
        <w:rPr>
          <w:b/>
        </w:rPr>
        <w:t>E. 2.3.4</w:t>
      </w:r>
    </w:p>
    <w:p>
      <w:r>
        <w:t>Il faut ensuite qu'il existe un rapport de causalité entre la violation fautive du devoir de prudence et le dommage survenu. La causalité naturelle est établie lorsque l'on peut retenir que le résultat ne se serait vraisemblablement pas produit en l'absence de l'acte considéré.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 arrêt du Tribunal fédéral 6B_69/2017 du 28 novembre 2017 consid. 2.3.2).</w:t>
      </w:r>
    </w:p>
    <w:p>
      <w:r>
        <w:t>- 12/15 - P/9484/2022 2.4.1. En l'espèce, la collision entre l'automobile et le motocycle du 2 mars 2022 a induit la chute de la plaignante et les lésions qu'elle a subies, lesquelles sont documentées et entrent dans le champ d'application de l'art. 125 al. 1 CP, ne sont pas contestées. Il reste à déterminer si une négligence de l'intimé peut être retenue. 2.4.2. Il n'est pas établi que ce dernier a franchi une ligne de sécurité lors de sa manœuvre, ce que l'acte d'accusation ne retient d'ailleurs pas. Il se peut en effet que l'intimé se soit placé, comme allégué, à l'endroit de la chaussée marquée par une ligne discontinue permettant le franchissement de la ligne de sécurité. Il y a ainsi un doute quant à la trajectoire empruntée par l'intéressé, de sorte que la Cour doit retenir la version qui lui est la plus favorable. Il ressort du rapport de police et du courriel du Département de la santé et des mobilités qu'à cet endroit la double-ligne de sécurité est interrompue à deux reprises en enfilade pour permettre aux véhicules de sortir des accès privés uniquement, en franchissant perpendiculairement toutes les voies de circulation. Il appert que, dans cette configuration, l'intimé a dû effectuer une sorte de demi-tour pour accéder au n° 1______ de la route de Malagnou, et non un simple franchissement de ligne discontinue. Il a ainsi procédé à une manœuvre insolite, étant précisé qu'il a admis avoir toujours, par le passé, atteint les lotissements privés impairs par la voie de circulation opposée. Cela étant, la police a retenu en sa faveur l'ambiguïté du marquage et l'absence d'un signal interdisant d'obliquer à gauche placé en amont et le MP n'a pas instruit la manœuvre de l'automobiliste, qui ne figure par conséquent pas dans l'acte d'accusation, lequel lie la Cour de céans. Il convient donc de déterminer si l'intimé a violé de manière fautive son devoir de prudence, soit s'il a pris suffisamment garde à la présence des autres usagers de la route lorsqu'il a obliqué à gauche. À cet égard, les versions des parties s'opposent, chacun arguant avoir roulé à vitesse réduite tout en reprochant à l'autre une vitesse bien plus élevée. Les déclarations du témoin ne permettent pas de les départager dès lors que ses souvenirs sont vagues et qu'il n'a émis qu'une hypothèse. Cela étant, il est établi que la circulation était alors très dense, au point que plusieurs scooters avaient indument emprunté la voie de bus pour dépasser les véhicules, de sorte que l'intimé n'a pu s'engager dans la voie de circulation opposée qu'après s'être vu céder le passage, ce qui l'a nécessairement empêché d'effectuer sa manœuvre à une vitesse élevée. Quant à la deuxième intersection, rien dans le dossier ne permet de déterminer avec certitude la vitesse adoptée au moment de son franchissement, si ce n'est qu'au moment de l'impact, l'appelante n'a pas été projetée. La question de savoir si l'intimé devait s'attendre ou non à ce que la motocycliste ne respectât pas les règles de la circulation routière en empruntant une voie qui ne lui était pas destinée peut souffrir de demeurer ouverte, dès lors qu'il ressort du rapport de police qu'elle s'était en tout état passablement masquée à la vue de l'automobiliste, par son positionnement sur la chaussée en longeant particulièrement à gauche les potelets orange. Ainsi, il se peut que malgré toutes les précautions prises, celui-ci aurait eu</w:t>
      </w:r>
    </w:p>
    <w:p>
      <w:r>
        <w:t>- 13/15 - P/9484/2022 dans tous les cas de la peine à l'apercevoir à temps pour l'éviter. Au vu de toutes les incertitudes entourant l'accident, la Cour retiendra, en vertu du principe in dubio pro reo, que l'intimé s'est avancé à tâtons en respectant son devoir de prudence, de sorte que son acquittement sera confirmé. Partant, l'appel sera rejeté et le jugement entrepris confirmé.</w:t>
      </w:r>
    </w:p>
    <w:p>
      <w:r>
        <w:rPr>
          <w:b/>
        </w:rPr>
        <w:t>E. 3</w:t>
      </w:r>
    </w:p>
    <w:p>
      <w:r>
        <w:t>Dans la mesure où l'appelante, qui succombe, est au bénéfice de l'assistance juridique, les frais seront laissés à la charge de l'État. Il n'y a pas lieu de revoir la répartition arrêtée par le premier juge.</w:t>
      </w:r>
    </w:p>
    <w:p>
      <w:r>
        <w:rPr>
          <w:b/>
        </w:rPr>
        <w:t>E. 4</w:t>
      </w:r>
    </w:p>
    <w:p>
      <w:r>
        <w:t>L'appelante sera déboutée de ses conclusions civiles (art. 433 CPP a contrario).</w:t>
      </w:r>
    </w:p>
    <w:p>
      <w:r>
        <w:rPr>
          <w:b/>
        </w:rPr>
        <w:t>E. 5</w:t>
      </w:r>
    </w:p>
    <w:p>
      <w:r>
        <w:t>Il sera fait droit aux prétentions en indemnisation de l'intimé, lesquelles sont justifiées et doivent être complétées de la durée des débats d'appel et de la préparation de l'audience. L'État de Genève sera ainsi condamné à lui verser CHF 3'397.- (TVA comprise) à titre d'indemnité pour les dépenses occasionnées par l'exercice raisonnable de ses droits de procédure au sens de l'art. 429 al. 1 let. a CPP.</w:t>
      </w:r>
    </w:p>
    <w:p>
      <w:r>
        <w:rPr>
          <w:b/>
        </w:rPr>
        <w:t>E. 6.1</w:t>
      </w:r>
    </w:p>
    <w:p>
      <w:r>
        <w:t>Selon l'art. 138 al. 1 CPP,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w:t>
      </w:r>
    </w:p>
    <w:p>
      <w:r>
        <w:t>- 14/15 - P/9484/2022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6.4</w:t>
      </w:r>
    </w:p>
    <w:p>
      <w:r>
        <w:t>En l'occurrence, doit être retranchée de l'état de frais de Me B______, l'activité déployée avant sa nomination d'office, soit 0h45, laquelle relève de surcroît de tâche de secrétariat couverte par le forfait. Il en ira de même des postes de correspondance et de téléphone (1h20), de la rédaction de la déclaration d'appel qui n'a pas à être motivée (0h35) et des lectures du procès-verbal et du jugement (0h15), aussi couverts par le forfait. Enfin, la vacation de 2h00 est indemnisée conformément à la rémunération forfaitaire sus-rappelée, de sorte qu'elle n'a pas à être facturée en sus, et la durée de l'audience doit être réduite de 1h05.</w:t>
      </w:r>
    </w:p>
    <w:p>
      <w:r>
        <w:t>En conclusion, la rémunération sera arrêtée à CHF 956.70, correspondant à 4h30 d'activité au tarif de CHF 150.-/heure (CHF 675.-) plus la majoration forfaitaire de 20% (CHF 135.-), la vacation en CHF 75.- et l'équivalent de la TVA au taux de 8.1% en CHF 71.70. * * * * *</w:t>
      </w:r>
    </w:p>
    <w:p>
      <w:r>
        <w:t>- 15/15 - P/9484/2022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