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AARP/262/2015 vom 29. Mai 2015</w:t>
      </w:r>
    </w:p>
    <w:p>
      <w:r>
        <w:t>GE Cour de justice, 2015-05-29, FR</w:t>
      </w:r>
    </w:p>
    <w:p>
      <w:r>
        <w:rPr>
          <w:b/>
        </w:rPr>
        <w:t xml:space="preserve">Quelle: </w:t>
      </w:r>
      <w:r>
        <w:t>https://mcp.opencaselaw.ch/entscheid/ge_gerichte_AARP_262_2015</w:t>
      </w:r>
    </w:p>
    <w:p>
      <w:r>
        <w:t>FR: GE_GERICHTE AARP/262/2015 du 29 mai 2015</w:t>
      </w:r>
    </w:p>
    <w:p>
      <w:r>
        <w:t>IT: GE_GERICHTE AARP/262/2015 del 29 maggio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w:t>
      </w:r>
    </w:p>
    <w:p>
      <w:r>
        <w:t>- 8/20 - P/12191/2012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2.1.2.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2.1.3.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duu 22 octobre 2008 consid. 3.2 et 6B_646/2008 du 23 avril 2009 consid. 4.3.2 et les références citées). 2.1.4.1.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Même si la</w:t>
      </w:r>
    </w:p>
    <w:p>
      <w:r>
        <w:t>- 9/20 - P/12191/2012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 d'héroïne sera en principe moins sévèrement puni que celui qui vend cent grammes à dix reprises. En l'absence d'analyse de la drogue saisie et faute d'autres éléments, le juge peut admettre sans arbitraire que la drogue était d'une qualité moyenne et se référer au degré de pureté habituel sur le marché à l'époque et au lieu en question (B. CORBOZ, Les infractions en droit suisse, Berne 2010, vol. II, n. 86 p. 918), taux qui était en 2009 et 2010 de l'ordre de 20% à Genève pour la vente au détail de la cocaïne. 2.1.4.2.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2.1.4.3.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w:t>
      </w:r>
    </w:p>
    <w:p>
      <w:r>
        <w:t>- 10/20 - P/12191/2012</w:t>
      </w:r>
    </w:p>
    <w:p>
      <w:r>
        <w:rPr>
          <w:b/>
        </w:rPr>
        <w:t>E. 2.2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2.3</w:t>
      </w:r>
    </w:p>
    <w:p>
      <w:r>
        <w:t>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Une personne présentant un taux d’alcoolémie dans le sang de 3 gr. o/oo et plus doit être considérée comme totalement irresponsable. Entre 2 et 3 gr. o/oo, sa responsabilité sera en règle générale diminuée, alors qu'en dessous de 2 gr. o/oo, on admettra en principe une responsabilité pleine et entière. Il ne s'agit cependant que d'une présomption, par ailleurs réfragrable, qui peut être renversée en raison d'indices contraires (ATF 122 IV 49 consid. 1b p. 50 ; ATF 119 IV 120 consid. 2b p. 123 ; ATF 117 IV 292 consid. 2d p. 296 ; arrêt du Tribunal fédéral 6B_960/2009 du 30 mars 2010 consid. 1.2). 2.4.1. Seules les peines de six mois à deux ans peuvent être assorties du sursis total (cf. art. 42 al. 1 CP).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p. 198 ss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consid. 4.2.1 p. 5 ; arrêt du Tribunal fédéral 6B_1044/2013 du 4 mars 2014 consid. 3.1).</w:t>
      </w:r>
    </w:p>
    <w:p>
      <w:r>
        <w:t>- 11/20 - P/12191/2012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 Le pronostic doit être posé selon les mêmes critères que sous l'ancien droit. 2.4.2.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2e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Des antécédents relatifs à d'autres types de délits ne sont pas sans pertinence pour l'établissement du pronostic en vue de l'octroi ou du refus du sursis (arrêt du Tribunal fédéral 6B_1045/2008 du 20 mars 2009 consid. 4.4 ; ATF 100 IV 133, consid. 1d, p. 137 ; ATF 98 IV 76 consid. 2, p. 82 ; v. également R. SCHNEIDER / R. GARRÉ, op. cit., n. 59 ad art. 42). 2.4.3. Lorsque la durée de la peine privative de liberté se situe, comme en l'espèce, entre un et deux ans, permettant donc le choix entre le sursis complet (art. 42 CP) et le sursis partiel (art. 43 CP), l'octroi du sursis au sens de l'art. 42 est la règle et le sursis partiel l'exception. Celui-ci ne doit être prononcé que si, sous l'angle de la prévention spéciale, l'octroi du sursis pour une partie de la peine ne peut se concevoir que moyennant exécution de l'autre partie (arrêts du Tribunal fédéral 6B_1044/2013 du 4 mars 2014 consid. 3.1 et 6B_664/2007 du 18 janvier 2008 consid.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w:t>
      </w:r>
    </w:p>
    <w:p>
      <w:r>
        <w:t>- 12/20 - P/12191/2012 sursis partiel que le sursis total (ATF 134 IV 1 consid. 5.3.1 p. 10 ; arrêt du Tribunal fédéral 6B_1044/2013 précité). 2.4.4.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Le rapport entre la partie ferme et avec sursis de la peine doit être fixé de telle manière que la probabilité d'un comportement futur de l'auteur conforme à la loi, mais aussi sa culpabilité, soient équitablement prises en compte. Le juge dispose à ce propos d'un large pouvoir d'appréciation (cf. ATF 134 IV 1 consid. 5.6 p. 15). 2.5.1. Les infractions de lésions corporelles simples (art. 123 CP), dommages à la propriété (art. 144 CP), menaces (art. 180 CP), l'infraction à l'art. 33 al. 1 let. a LArm, et celles énoncées à l'art. 19 ch. 1 aLStup, sont passibles d'une privative de liberté de trois ans au plus ou d’une peine pécuniaire. S'agissant de cette dernière disposition, dans les cas graves (ch. 2), comme en l'espèce, une peine minimum d'une durée de un an est prévue. L'infraction d'injure (art. 177 CP) est réprimée par une peine pécuniaire de 90 jours- amende au plus, celle à l'art. 19a al. 1 aLStup de l'amende. 2.5.2. La faute de l'appelant est importante. Il s'en est pris gratuitement à l'intégrité corporelle de deux personnes, dont aucune ne constituait une menace pour lui, bien au contraire. En effet, il a sprayé la première – un passant inconnu – au visage parce qu'elle était intervenue, de manière totalement pacifique, pour faire cesser une bagarre à laquelle il participait. Il a frappé plusieurs fois et en deux assauts la seconde – un automobiliste alors âgé de presque 68 ans – qui avait pourtant évité une collision avec lui. Il n'a pas hésité à forcer la portière de son véhicule pour lui asséner des coups alors qu'il était assis sur le siège conducteur et qu'il n'opposait aucune défense, le privant par conséquent de sa liberté. L'appelant a, en sus, proféré des insultes et menaces à son encontre et s'en est également pris à son véhicule. Les mobiles de l'appelant sont probablement inexistants ou, à tout le moins, futiles, ce dernier ayant agi par excès de colère et de rage totalement infondé et disproportionné, témoignant d'un manque absolu de contrôle sur lui-même. S'agissant du trafic de stupéfiants, il a mis en danger de nombreux toxicomanes en leur vendant de la cocaïne, plusieurs fois par semaine, en tout cas durant un an, soit environ 200 grammes à un taux de pureté par hypothèse de 20%, ainsi que 30 pilules d'ecstasy à une reprise. L'appelant ne jouait toutefois pas un rôle majeur</w:t>
      </w:r>
    </w:p>
    <w:p>
      <w:r>
        <w:t>- 13/20 - P/12191/2012 dans le trafic de cocaïne – de faible envergure, soit local –, étant uniquement un consommateur-revendeur. Ses mobiles sont égoïstes, dès lors qu'il a agi par appât d'un gain facile, étant toutefois rappelé qu'il était consommateur. C'est son arrestation, et non une décision de sa part, qui a mis un terme à son trafic. La collaboration de l'appelant, si elle est contrastée, doit être qualifiée de bonne dans l'ensemble. Il a, pour les trois complexes de faits qui lui sont reprochés, rapidement collaboré à leur établissement, assumant une grande partie de ses actes, dans la mesure où il s'en souvenait. Cela étant, s'agissant du trafic de stupéfiants, il est revenu sur ses déclarations au bénéfice d'explications peu plausibles. En sus, l'appelant ne semble pas avoir effectué de réelle introspection personnelle, aux fins notamment de mesurer l'effet de sa consommation d'alcool sur son comportement, lequel peut devenir d'une grande violence. Il démontre ainsi une prise de conscience partielle de la gravité de ses actes, même s'il a présenté ses excuses à l'une des victimes. La situation personnelle de l'appelant, bien que délicate en raison des différentes substances et alcools dont il était vraisemblablement dépendant, mais aussi du fait de l'absence d'opportunités professionnelles, ne saurait excuser ses agissements. Assisté par l'Hospice général, même en l'absence de travail, il n'était pas démuni de tout moyen d'existence, de sorte que les bénéfices retirés de son trafic étaient vraisemblablement affectés à sa propre consommation, ou dépensés à des occasions festives. Seule un très légère diminution de la responsabilité sera retenue s'agissant des faits des 17 mai et 1er septembre 2012, pour les raisons indiquées dans le jugement querellé, étant précisé que l'appelant ne les conteste pas. Sa responsabilité était pleine et entière pour les autres faits. Il n'y a pas de circonstances atténuantes, notamment au sens de l'art. 48 let. c et d CP. L'appelant a des antécédents, dont un spécifique en matière de lésions corporelles simples, relativement ancien, et un autre en matière d'infractions liées à sa consommation d'alcool en 2011. Il y a concours d'infractions, à l'exclusion de celle d'injure et d'infraction à l'art. 19a al. 1 aLStup. Comme facteur atténuant, la violation du principe de célérité doit être prise en compte pour les faits de 2009, comme retenu par le premier juge. Au regard de l'ensemble de ces circonstances, la peine privative de liberté de 18 mois, partiellement complémentaire à celles prononcées par le Ministère public</w:t>
      </w:r>
    </w:p>
    <w:p>
      <w:r>
        <w:t>- 14/20 - P/12191/2012 le 31 mai 2011, est adéquate. On précisera que dans la mesure où l'appelant ne conteste pas le verdict de culpabilité, lequel porte notamment sur des infractions à l'art. 19 ch. 2 let. a aLStup, seule une peine privative de liberté de minimum un an peut être infligée, ce qui exclut de jure sa première conclusion. 2.5.3. Une précédente condamnation assortie du sursis, qui a par la suite été révoqué, n'a pas dissuadé l’appelant de persévérer dans des comportements répréhensibles. Cet antécédent est cependant ancien, tout comme l'infraction la plus grave à laquelle il a été condamné dans la présente procédure. L'appelant n'a, en outre, pas commis d'autres infractions depuis 2012 et sa situation semble s'être stabilisée. Même si cette stabilité est fragile, faute notamment de démarches entreprises pour assurer son avenir économique, elle constitue néanmoins un élément favorable supplémentaire. Le sevrage aux stupéfiants et la diminution de la consommation d'alcool doivent également être qualifiés de la sorte, mais avec pondération, dans la mesure où l'appelant ne les a pas démontrés et n'a entamé aucun suivi pour assurer leur pérennité. Le pronostic d'avenir n'est donc pas concrètement défavorable, compte tenu aussi de la règle de conduite prévue par le premier juge et non contestée. L'octroi du sursis total peut encore être envisagé, étant rappelé qu'il est règle et le sursis partiel l'exception. La durée du délai d'épreuve sera fixée à quatre ans, comme retenu en première instance, laquelle est adéquate et tient compte des éléments de la procédure. La peine pécuniaire de 20 jours-amende à CHF 30.- l'unité, l'amende de CHF 200.-, ainsi que la peine privative de liberté de substitution de deux jours, pour les infractions aux art. 177 CP et 19a al. 1 aLStup seront maintenues, n'ayant été contestées ni dans leur principe ni dans leur quotité. L'assistance de probation et la règle de conduite, qui ne sont pas contestées, sont justifiées et opportunes vu la situation de l'appelant. Au vu de l'ensemble des éléments qui précèdent, le jugement sera réformé s'agissant du type de sursis octroyé, et confirmé pour le surplus.</w:t>
      </w:r>
    </w:p>
    <w:p>
      <w:r>
        <w:rPr>
          <w:b/>
        </w:rPr>
        <w:t>E. 3.1</w:t>
      </w:r>
    </w:p>
    <w:p>
      <w:r>
        <w:t>L'appelant, qui n'obtient que partiellement gain de cause, supportera le quart des frais de la procédure d'appel (art. 428 CPP), lesquels comprendront un émolument de CHF 1'500.- (art. 14 al. 1 let. e du Règlement fixant le tarif des frais en matière pénale, du 22 décembre 2010 [RTFMP; E 4 10.03]). Le solde des frais sera laissé à la charge de l'Etat.</w:t>
      </w:r>
    </w:p>
    <w:p>
      <w:r>
        <w:t>- 15/20 - P/12191/2012</w:t>
      </w:r>
    </w:p>
    <w:p>
      <w:r>
        <w:rPr>
          <w:b/>
        </w:rPr>
        <w:t>E. 3.2</w:t>
      </w:r>
    </w:p>
    <w:p>
      <w:r>
        <w:t>Dans la mesure où l'appel a conduit à la reformation d'une partie du jugement entrepris, celui-ci sera également modifié en ce sens que l'émolument complémentaire de jugement de CHF 600.- doit être laissé à la charge de l'Etat.</w:t>
      </w:r>
    </w:p>
    <w:p>
      <w:r>
        <w:rPr>
          <w:b/>
        </w:rPr>
        <w:t>E. 4</w:t>
      </w:r>
    </w:p>
    <w:p>
      <w:r>
        <w:t>4.1.1.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4.1.2. Seules les heures nécessaires à la défense devant les juridictions cantonales sont retenues et sont appréciées en fonction notamment de la nature, de l'importance</w:t>
      </w:r>
    </w:p>
    <w:p>
      <w:r>
        <w:t>- 16/20 - P/12191/2012 et des difficultés de la cause, de la valeur litigieuse, de la qualité du travail fourni et du résultat obtenu (art. 16 al. 2 RAJ). Ces derniers mois, la CPAR s'est inspirée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4.2.1. De la note de frais de Me B______, l'activité suivante ne sera pas retenue : - 12 heures et 30 minutes effectuées par le chef d'étude ou la stagiaire et affectées à la préparation de l'audience d'appel et à des recherches jurisprudentielles, dans la mesure où quatre heures étaient suffisantes, vu l'objet de l'appel et la bonne connaissance du dossier, Me B______ ayant été nommé pendant la procédure d'instruction. Les recherches juridiques ne sont pas indemnisées car elles relèvent de la formation continue de l'avocat breveté ; - 15 minutes effectuées par le chef d'étude et affectées à la lecture d'un acte de procédure, cette activité étant incluse dans le forfait de 10% ; - cinq heures et 25 minutes (estimation) effectuées par le chef d'étude ou la stagiaire et affectées à l'assistance à l'audience d'appel, celle-ci n'ayant duré que 35 minutes et n'exigeant la présence que d'un conseil, soit la stagiaire qui a plaidé. L'activité exercée par le défenseur d’office de l'appelant dans le cadre de la présente procédure est au surplus en adéquation avec la nature, l'importance et la difficulté de la cause. Par conséquent, l'état de frais, après les réductions qui précèdent, sera admis à concurrence de quatre heures et 35 minutes d'activité, dont deux heures effectuées par le chef d'étude, le reste par sa stagiaire, ce qui correspond à une indemnité de base de CHF 567.90 (arrondi).</w:t>
      </w:r>
    </w:p>
    <w:p>
      <w:r>
        <w:t>- 17/20 - P/12191/2012 Il convient d'ajouter à ce montant l'indemnisation forfaitaire de 10% (vu le nombre d'heures indemnisé en première instance et en appel qui est supérieur à 30), soit CHF 56.80 (arrondi), ainsi que la TVA à hauteur de CHF 50.- (arrondi). * * * * *</w:t>
      </w:r>
    </w:p>
    <w:p>
      <w:r>
        <w:t>- 18/20 - P/12191/2012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